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999" w:rsidRPr="00996999" w:rsidRDefault="00996999" w:rsidP="00996999">
      <w:pPr>
        <w:spacing w:after="0" w:line="240" w:lineRule="auto"/>
        <w:ind w:right="-108" w:hanging="108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06AF0">
        <w:rPr>
          <w:sz w:val="26"/>
          <w:szCs w:val="26"/>
          <w:lang w:val="uk-UA"/>
        </w:rPr>
        <w:t xml:space="preserve">                                                                                            </w:t>
      </w:r>
      <w:r>
        <w:rPr>
          <w:sz w:val="26"/>
          <w:szCs w:val="26"/>
          <w:lang w:val="uk-UA"/>
        </w:rPr>
        <w:t xml:space="preserve">                        </w:t>
      </w:r>
      <w:r w:rsidR="002F3230">
        <w:rPr>
          <w:sz w:val="26"/>
          <w:szCs w:val="26"/>
          <w:lang w:val="uk-UA"/>
        </w:rPr>
        <w:t xml:space="preserve">    </w:t>
      </w:r>
      <w:r w:rsidRPr="00996999">
        <w:rPr>
          <w:rFonts w:ascii="Times New Roman" w:hAnsi="Times New Roman" w:cs="Times New Roman"/>
          <w:b/>
          <w:sz w:val="26"/>
          <w:szCs w:val="26"/>
          <w:lang w:val="uk-UA"/>
        </w:rPr>
        <w:t>ЗАТВЕРДЖУЮ</w:t>
      </w:r>
    </w:p>
    <w:p w:rsidR="00996999" w:rsidRPr="00996999" w:rsidRDefault="00996999" w:rsidP="00996999">
      <w:pPr>
        <w:spacing w:after="0" w:line="240" w:lineRule="auto"/>
        <w:ind w:right="-108" w:hanging="108"/>
        <w:rPr>
          <w:rFonts w:ascii="Times New Roman" w:hAnsi="Times New Roman" w:cs="Times New Roman"/>
          <w:sz w:val="26"/>
          <w:szCs w:val="26"/>
          <w:lang w:val="uk-UA"/>
        </w:rPr>
      </w:pPr>
      <w:r w:rsidRPr="00996999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96999">
        <w:rPr>
          <w:rFonts w:ascii="Times New Roman" w:hAnsi="Times New Roman" w:cs="Times New Roman"/>
          <w:sz w:val="26"/>
          <w:szCs w:val="26"/>
          <w:lang w:val="uk-UA"/>
        </w:rPr>
        <w:t xml:space="preserve"> голова атестаційної комісії І рівня</w:t>
      </w:r>
    </w:p>
    <w:p w:rsidR="00996999" w:rsidRPr="00996999" w:rsidRDefault="00996999" w:rsidP="00996999">
      <w:pPr>
        <w:spacing w:after="0" w:line="240" w:lineRule="auto"/>
        <w:ind w:right="-108" w:hanging="108"/>
        <w:rPr>
          <w:rFonts w:ascii="Times New Roman" w:hAnsi="Times New Roman" w:cs="Times New Roman"/>
          <w:sz w:val="26"/>
          <w:szCs w:val="26"/>
          <w:lang w:val="uk-UA"/>
        </w:rPr>
      </w:pPr>
      <w:r w:rsidRPr="00996999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</w:t>
      </w:r>
      <w:r w:rsidR="002F3230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</w:t>
      </w:r>
      <w:proofErr w:type="spellStart"/>
      <w:r w:rsidRPr="00996999">
        <w:rPr>
          <w:rFonts w:ascii="Times New Roman" w:hAnsi="Times New Roman" w:cs="Times New Roman"/>
          <w:sz w:val="26"/>
          <w:szCs w:val="26"/>
          <w:lang w:val="uk-UA"/>
        </w:rPr>
        <w:t>Олексицької</w:t>
      </w:r>
      <w:proofErr w:type="spellEnd"/>
      <w:r w:rsidRPr="00996999">
        <w:rPr>
          <w:rFonts w:ascii="Times New Roman" w:hAnsi="Times New Roman" w:cs="Times New Roman"/>
          <w:sz w:val="26"/>
          <w:szCs w:val="26"/>
          <w:lang w:val="uk-UA"/>
        </w:rPr>
        <w:t xml:space="preserve">  гімназії</w:t>
      </w:r>
    </w:p>
    <w:p w:rsidR="00996999" w:rsidRPr="00996999" w:rsidRDefault="00996999" w:rsidP="00996999">
      <w:pPr>
        <w:spacing w:after="0" w:line="240" w:lineRule="auto"/>
        <w:ind w:right="-108" w:hanging="108"/>
        <w:rPr>
          <w:rFonts w:ascii="Times New Roman" w:hAnsi="Times New Roman" w:cs="Times New Roman"/>
          <w:sz w:val="26"/>
          <w:szCs w:val="26"/>
          <w:lang w:val="uk-UA"/>
        </w:rPr>
      </w:pPr>
      <w:r w:rsidRPr="00996999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</w:t>
      </w:r>
      <w:r w:rsidRPr="00996999">
        <w:rPr>
          <w:rFonts w:ascii="Times New Roman" w:hAnsi="Times New Roman" w:cs="Times New Roman"/>
          <w:sz w:val="26"/>
          <w:szCs w:val="26"/>
          <w:lang w:val="uk-UA"/>
        </w:rPr>
        <w:t>___</w:t>
      </w:r>
      <w:r>
        <w:rPr>
          <w:rFonts w:ascii="Times New Roman" w:hAnsi="Times New Roman" w:cs="Times New Roman"/>
          <w:sz w:val="26"/>
          <w:szCs w:val="26"/>
          <w:lang w:val="uk-UA"/>
        </w:rPr>
        <w:t>_____</w:t>
      </w:r>
      <w:r w:rsidRPr="00996999">
        <w:rPr>
          <w:rFonts w:ascii="Times New Roman" w:hAnsi="Times New Roman" w:cs="Times New Roman"/>
          <w:sz w:val="26"/>
          <w:szCs w:val="26"/>
          <w:lang w:val="uk-UA"/>
        </w:rPr>
        <w:t xml:space="preserve"> Марія ГНАТКОВСЬКА</w:t>
      </w:r>
    </w:p>
    <w:p w:rsidR="00996999" w:rsidRPr="002F3230" w:rsidRDefault="00996999" w:rsidP="002F3230">
      <w:pPr>
        <w:spacing w:after="0" w:line="240" w:lineRule="auto"/>
        <w:ind w:right="-108" w:hanging="108"/>
        <w:rPr>
          <w:rFonts w:ascii="Times New Roman" w:hAnsi="Times New Roman" w:cs="Times New Roman"/>
          <w:sz w:val="26"/>
          <w:szCs w:val="26"/>
          <w:lang w:val="uk-UA"/>
        </w:rPr>
      </w:pPr>
      <w:r w:rsidRPr="00996999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996999">
        <w:rPr>
          <w:rFonts w:ascii="Times New Roman" w:hAnsi="Times New Roman" w:cs="Times New Roman"/>
          <w:sz w:val="26"/>
          <w:szCs w:val="26"/>
          <w:lang w:val="uk-UA"/>
        </w:rPr>
        <w:t xml:space="preserve"> (</w:t>
      </w:r>
      <w:r w:rsidRPr="00996999">
        <w:rPr>
          <w:rFonts w:ascii="Times New Roman" w:hAnsi="Times New Roman" w:cs="Times New Roman"/>
          <w:sz w:val="24"/>
          <w:szCs w:val="24"/>
          <w:lang w:val="uk-UA"/>
        </w:rPr>
        <w:t>прото</w:t>
      </w:r>
      <w:r w:rsidR="00507BAF">
        <w:rPr>
          <w:rFonts w:ascii="Times New Roman" w:hAnsi="Times New Roman" w:cs="Times New Roman"/>
          <w:sz w:val="24"/>
          <w:szCs w:val="24"/>
          <w:lang w:val="uk-UA"/>
        </w:rPr>
        <w:t>кол засідання АК І р. № 2 від 14</w:t>
      </w:r>
      <w:r w:rsidR="00E14F5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07BAF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AC79C6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E14F51">
        <w:rPr>
          <w:rFonts w:ascii="Times New Roman" w:hAnsi="Times New Roman" w:cs="Times New Roman"/>
          <w:sz w:val="24"/>
          <w:szCs w:val="24"/>
          <w:lang w:val="uk-UA"/>
        </w:rPr>
        <w:t>.2025</w:t>
      </w:r>
      <w:r w:rsidRPr="0099699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96999">
        <w:rPr>
          <w:rFonts w:ascii="Times New Roman" w:hAnsi="Times New Roman" w:cs="Times New Roman"/>
          <w:sz w:val="24"/>
          <w:szCs w:val="24"/>
          <w:lang w:val="uk-UA"/>
        </w:rPr>
        <w:t xml:space="preserve">р.)                                                                                            </w:t>
      </w:r>
      <w:r w:rsidRPr="0099699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25F43">
        <w:rPr>
          <w:sz w:val="26"/>
          <w:szCs w:val="26"/>
          <w:lang w:val="uk-UA"/>
        </w:rPr>
        <w:t xml:space="preserve">                                                                                              </w:t>
      </w:r>
    </w:p>
    <w:p w:rsidR="0054134B" w:rsidRDefault="0054134B" w:rsidP="00507BAF">
      <w:pPr>
        <w:pStyle w:val="LO-normal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42B08" w:rsidRDefault="00725F43" w:rsidP="00067FB3">
      <w:pPr>
        <w:pStyle w:val="LO-normal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ГРАФІК</w:t>
      </w:r>
      <w:r w:rsidR="005F1E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342B08" w:rsidRPr="00AA296D" w:rsidRDefault="00AA296D" w:rsidP="00AA296D">
      <w:pPr>
        <w:pStyle w:val="LO-normal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засідань </w:t>
      </w:r>
      <w:r w:rsidR="005F1E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атестаційної комісії І рівня</w:t>
      </w:r>
    </w:p>
    <w:p w:rsidR="00C70D3E" w:rsidRDefault="00C70D3E" w:rsidP="00067FB3">
      <w:pPr>
        <w:pStyle w:val="LO-normal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Олексицької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гімназії </w:t>
      </w:r>
    </w:p>
    <w:p w:rsidR="0054134B" w:rsidRPr="001176F9" w:rsidRDefault="00AA296D" w:rsidP="00507BAF">
      <w:pPr>
        <w:pStyle w:val="LO-normal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2025-2026</w:t>
      </w:r>
      <w:r w:rsidR="005F1E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навчальний рік</w:t>
      </w:r>
    </w:p>
    <w:tbl>
      <w:tblPr>
        <w:tblStyle w:val="10"/>
        <w:tblW w:w="9640" w:type="dxa"/>
        <w:tblInd w:w="-176" w:type="dxa"/>
        <w:tblLook w:val="04A0" w:firstRow="1" w:lastRow="0" w:firstColumn="1" w:lastColumn="0" w:noHBand="0" w:noVBand="1"/>
      </w:tblPr>
      <w:tblGrid>
        <w:gridCol w:w="1652"/>
        <w:gridCol w:w="7988"/>
      </w:tblGrid>
      <w:tr w:rsidR="00507BAF" w:rsidRPr="00507BAF" w:rsidTr="003646E2">
        <w:tc>
          <w:tcPr>
            <w:tcW w:w="1652" w:type="dxa"/>
          </w:tcPr>
          <w:p w:rsidR="00507BAF" w:rsidRPr="00507BAF" w:rsidRDefault="00507BAF" w:rsidP="00507BAF">
            <w:pPr>
              <w:spacing w:after="0" w:line="240" w:lineRule="auto"/>
              <w:jc w:val="center"/>
              <w:textAlignment w:val="auto"/>
              <w:outlineLvl w:val="9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Дата</w:t>
            </w:r>
          </w:p>
        </w:tc>
        <w:tc>
          <w:tcPr>
            <w:tcW w:w="7988" w:type="dxa"/>
          </w:tcPr>
          <w:p w:rsidR="00507BAF" w:rsidRPr="00507BAF" w:rsidRDefault="00507BAF" w:rsidP="00507BAF">
            <w:pPr>
              <w:spacing w:after="0" w:line="240" w:lineRule="auto"/>
              <w:jc w:val="center"/>
              <w:textAlignment w:val="auto"/>
              <w:outlineLvl w:val="9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Порядок денний</w:t>
            </w:r>
          </w:p>
        </w:tc>
      </w:tr>
      <w:tr w:rsidR="00507BAF" w:rsidRPr="00507BAF" w:rsidTr="003646E2">
        <w:trPr>
          <w:trHeight w:val="509"/>
        </w:trPr>
        <w:tc>
          <w:tcPr>
            <w:tcW w:w="1652" w:type="dxa"/>
          </w:tcPr>
          <w:p w:rsidR="00507BAF" w:rsidRPr="00507BAF" w:rsidRDefault="00507BAF" w:rsidP="00507BAF">
            <w:pPr>
              <w:spacing w:after="0"/>
              <w:ind w:hanging="108"/>
              <w:jc w:val="both"/>
              <w:textAlignment w:val="auto"/>
              <w:outlineLvl w:val="9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507BA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23.09.2025 р.</w:t>
            </w:r>
          </w:p>
        </w:tc>
        <w:tc>
          <w:tcPr>
            <w:tcW w:w="7988" w:type="dxa"/>
          </w:tcPr>
          <w:p w:rsidR="00507BAF" w:rsidRPr="00507BAF" w:rsidRDefault="00507BAF" w:rsidP="00507BAF">
            <w:pPr>
              <w:spacing w:after="0"/>
              <w:jc w:val="both"/>
              <w:textAlignment w:val="auto"/>
              <w:outlineLvl w:val="9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1. Про розподіл доручень між членами атестаційної комісії закладу.</w:t>
            </w:r>
          </w:p>
          <w:p w:rsidR="00507BAF" w:rsidRPr="00507BAF" w:rsidRDefault="00507BAF" w:rsidP="00507BAF">
            <w:pPr>
              <w:spacing w:after="0"/>
              <w:jc w:val="both"/>
              <w:textAlignment w:val="auto"/>
              <w:outlineLvl w:val="9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2. Про Порядок проведення атестації. </w:t>
            </w:r>
            <w:r w:rsidRPr="00507BA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Протокол.</w:t>
            </w:r>
          </w:p>
        </w:tc>
      </w:tr>
      <w:tr w:rsidR="00507BAF" w:rsidRPr="00507BAF" w:rsidTr="003646E2">
        <w:trPr>
          <w:trHeight w:val="415"/>
        </w:trPr>
        <w:tc>
          <w:tcPr>
            <w:tcW w:w="1652" w:type="dxa"/>
          </w:tcPr>
          <w:p w:rsidR="00507BAF" w:rsidRPr="00507BAF" w:rsidRDefault="00507BAF" w:rsidP="00507BAF">
            <w:pPr>
              <w:spacing w:after="0"/>
              <w:ind w:hanging="108"/>
              <w:jc w:val="both"/>
              <w:textAlignment w:val="auto"/>
              <w:outlineLvl w:val="9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507BA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14.10.2025 р.</w:t>
            </w:r>
          </w:p>
        </w:tc>
        <w:tc>
          <w:tcPr>
            <w:tcW w:w="7988" w:type="dxa"/>
          </w:tcPr>
          <w:p w:rsidR="00507BAF" w:rsidRPr="00507BAF" w:rsidRDefault="00507BAF" w:rsidP="00507BAF">
            <w:pPr>
              <w:spacing w:after="0"/>
              <w:jc w:val="both"/>
              <w:textAlignment w:val="auto"/>
              <w:outlineLvl w:val="9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1. Про затвердження списку педагогів, як підлягають черговій ате</w:t>
            </w: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с</w:t>
            </w: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тації в поточному навальному році</w:t>
            </w:r>
          </w:p>
          <w:p w:rsidR="00507BAF" w:rsidRPr="00507BAF" w:rsidRDefault="00507BAF" w:rsidP="00507BAF">
            <w:pPr>
              <w:spacing w:after="0"/>
              <w:jc w:val="both"/>
              <w:textAlignment w:val="auto"/>
              <w:outlineLvl w:val="9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2. Про визначення строків проведення їх атестації, визначення строку та адресу електронної пошти для подання педагогічними працівн</w:t>
            </w: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и</w:t>
            </w: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ками документів (у разі подання в електронній формі).</w:t>
            </w:r>
          </w:p>
          <w:p w:rsidR="00507BAF" w:rsidRPr="00507BAF" w:rsidRDefault="00507BAF" w:rsidP="00507BAF">
            <w:pPr>
              <w:spacing w:after="0"/>
              <w:jc w:val="both"/>
              <w:textAlignment w:val="auto"/>
              <w:outlineLvl w:val="9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3. Про перенесення чергової атестації </w:t>
            </w:r>
            <w:proofErr w:type="spellStart"/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педпрацівників</w:t>
            </w:r>
            <w:proofErr w:type="spellEnd"/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, у разі тимч</w:t>
            </w: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сової непрацездатності, або настання інших обставин, що перешк</w:t>
            </w: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джають проходженню ним атестації на один рік (за потреби). </w:t>
            </w:r>
          </w:p>
          <w:p w:rsidR="00507BAF" w:rsidRPr="00507BAF" w:rsidRDefault="00507BAF" w:rsidP="00507BAF">
            <w:pPr>
              <w:spacing w:after="0"/>
              <w:jc w:val="both"/>
              <w:textAlignment w:val="auto"/>
              <w:outlineLvl w:val="9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4. Про затвердження графіка та плану роботи атестаційної комісії.</w:t>
            </w:r>
          </w:p>
          <w:p w:rsidR="00507BAF" w:rsidRPr="00507BAF" w:rsidRDefault="00507BAF" w:rsidP="00507BAF">
            <w:pPr>
              <w:spacing w:after="0"/>
              <w:jc w:val="both"/>
              <w:textAlignment w:val="auto"/>
              <w:outlineLvl w:val="9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07BA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Протокол</w:t>
            </w:r>
          </w:p>
        </w:tc>
      </w:tr>
      <w:tr w:rsidR="00507BAF" w:rsidRPr="00507BAF" w:rsidTr="003646E2">
        <w:trPr>
          <w:trHeight w:val="415"/>
        </w:trPr>
        <w:tc>
          <w:tcPr>
            <w:tcW w:w="1652" w:type="dxa"/>
          </w:tcPr>
          <w:p w:rsidR="00507BAF" w:rsidRPr="00507BAF" w:rsidRDefault="00507BAF" w:rsidP="00507BAF">
            <w:pPr>
              <w:spacing w:after="0"/>
              <w:ind w:left="-142"/>
              <w:jc w:val="both"/>
              <w:textAlignment w:val="auto"/>
              <w:outlineLvl w:val="9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507BA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19.12.2025 р.</w:t>
            </w:r>
          </w:p>
        </w:tc>
        <w:tc>
          <w:tcPr>
            <w:tcW w:w="7988" w:type="dxa"/>
          </w:tcPr>
          <w:p w:rsidR="00507BAF" w:rsidRPr="00507BAF" w:rsidRDefault="00507BAF" w:rsidP="00507BAF">
            <w:pPr>
              <w:spacing w:after="0"/>
              <w:jc w:val="both"/>
              <w:textAlignment w:val="auto"/>
              <w:outlineLvl w:val="9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1. Про включення до списку, за заявою, педагогічних працівників, які підлягають черговій атестації, але не були включені до списку.</w:t>
            </w:r>
          </w:p>
          <w:p w:rsidR="00507BAF" w:rsidRPr="00507BAF" w:rsidRDefault="00507BAF" w:rsidP="00507BAF">
            <w:pPr>
              <w:spacing w:after="0"/>
              <w:jc w:val="both"/>
              <w:textAlignment w:val="auto"/>
              <w:outlineLvl w:val="9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2. Про затвердження списку педагогів, які підлягають позачерговій атестації, визначення строків проведення атестації, подання докум</w:t>
            </w: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е</w:t>
            </w: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нтів педагогів, які атестуються позачергово. (за потреби)</w:t>
            </w:r>
            <w:r w:rsidRPr="00507BA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Протокол</w:t>
            </w:r>
          </w:p>
        </w:tc>
      </w:tr>
      <w:tr w:rsidR="00507BAF" w:rsidRPr="00507BAF" w:rsidTr="003646E2">
        <w:trPr>
          <w:trHeight w:val="1909"/>
        </w:trPr>
        <w:tc>
          <w:tcPr>
            <w:tcW w:w="1652" w:type="dxa"/>
          </w:tcPr>
          <w:p w:rsidR="00507BAF" w:rsidRPr="00507BAF" w:rsidRDefault="00507BAF" w:rsidP="00507BAF">
            <w:pPr>
              <w:spacing w:after="0"/>
              <w:ind w:hanging="108"/>
              <w:jc w:val="both"/>
              <w:textAlignment w:val="auto"/>
              <w:outlineLvl w:val="9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507BA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05.01.2025 р.</w:t>
            </w:r>
          </w:p>
        </w:tc>
        <w:tc>
          <w:tcPr>
            <w:tcW w:w="7988" w:type="dxa"/>
          </w:tcPr>
          <w:p w:rsidR="00507BAF" w:rsidRPr="00507BAF" w:rsidRDefault="00507BAF" w:rsidP="00507BAF">
            <w:pPr>
              <w:spacing w:after="0"/>
              <w:jc w:val="both"/>
              <w:textAlignment w:val="auto"/>
              <w:outlineLvl w:val="9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1. Про розгляд, перевірку достовірності документів педагогічних працівників, які атестуються, встановлення дотримання вимог п.8.9 Положення по атестацію.</w:t>
            </w:r>
          </w:p>
          <w:p w:rsidR="00507BAF" w:rsidRPr="00507BAF" w:rsidRDefault="00507BAF" w:rsidP="00507BAF">
            <w:pPr>
              <w:spacing w:after="0"/>
              <w:jc w:val="both"/>
              <w:textAlignment w:val="auto"/>
              <w:outlineLvl w:val="9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2. Про оцінку професійних </w:t>
            </w:r>
            <w:proofErr w:type="spellStart"/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компетентностей</w:t>
            </w:r>
            <w:proofErr w:type="spellEnd"/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педагогічних працівн</w:t>
            </w: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и</w:t>
            </w: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ків з урахуванням їх посадових обов’язків і вимог професійного ст</w:t>
            </w: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ндарту (за наявності).</w:t>
            </w:r>
            <w:r w:rsidRPr="00507BA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Протокол.</w:t>
            </w:r>
          </w:p>
        </w:tc>
      </w:tr>
      <w:tr w:rsidR="00507BAF" w:rsidRPr="00507BAF" w:rsidTr="003646E2">
        <w:trPr>
          <w:trHeight w:val="415"/>
        </w:trPr>
        <w:tc>
          <w:tcPr>
            <w:tcW w:w="1652" w:type="dxa"/>
          </w:tcPr>
          <w:p w:rsidR="00507BAF" w:rsidRPr="00507BAF" w:rsidRDefault="00507BAF" w:rsidP="00507BAF">
            <w:pPr>
              <w:spacing w:after="0"/>
              <w:ind w:hanging="108"/>
              <w:jc w:val="both"/>
              <w:textAlignment w:val="auto"/>
              <w:outlineLvl w:val="9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507BA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10.01.2025 р.</w:t>
            </w:r>
          </w:p>
        </w:tc>
        <w:tc>
          <w:tcPr>
            <w:tcW w:w="7988" w:type="dxa"/>
          </w:tcPr>
          <w:p w:rsidR="00507BAF" w:rsidRPr="00507BAF" w:rsidRDefault="00507BAF" w:rsidP="00507BAF">
            <w:pPr>
              <w:spacing w:after="0"/>
              <w:jc w:val="both"/>
              <w:textAlignment w:val="auto"/>
              <w:outlineLvl w:val="9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Про вивчення практичного досвіду педагогічних працівників що ат</w:t>
            </w: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е</w:t>
            </w: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стуються. Визначення зі складу атестаційної комісії членів, які анал</w:t>
            </w: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зуватимуть практичний досвід роботи педагогічних працівників та затвердження графіка заходів вивчення досвіду роботи педагогічних працівників (за потреби).</w:t>
            </w:r>
            <w:r w:rsidRPr="00507BA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Протокол.</w:t>
            </w:r>
          </w:p>
        </w:tc>
      </w:tr>
      <w:tr w:rsidR="00507BAF" w:rsidRPr="00507BAF" w:rsidTr="003646E2">
        <w:trPr>
          <w:trHeight w:val="479"/>
        </w:trPr>
        <w:tc>
          <w:tcPr>
            <w:tcW w:w="1652" w:type="dxa"/>
          </w:tcPr>
          <w:p w:rsidR="00507BAF" w:rsidRPr="00507BAF" w:rsidRDefault="00507BAF" w:rsidP="00507BAF">
            <w:pPr>
              <w:spacing w:after="0"/>
              <w:ind w:hanging="108"/>
              <w:jc w:val="both"/>
              <w:textAlignment w:val="auto"/>
              <w:outlineLvl w:val="9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507BA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24.03.2025 р.</w:t>
            </w:r>
          </w:p>
        </w:tc>
        <w:tc>
          <w:tcPr>
            <w:tcW w:w="7988" w:type="dxa"/>
          </w:tcPr>
          <w:p w:rsidR="00507BAF" w:rsidRPr="00507BAF" w:rsidRDefault="00507BAF" w:rsidP="00507BAF">
            <w:pPr>
              <w:spacing w:after="0"/>
              <w:jc w:val="both"/>
              <w:textAlignment w:val="auto"/>
              <w:outlineLvl w:val="9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1. Про порядок голосування.</w:t>
            </w:r>
          </w:p>
          <w:p w:rsidR="00507BAF" w:rsidRPr="00507BAF" w:rsidRDefault="00507BAF" w:rsidP="00507BAF">
            <w:pPr>
              <w:spacing w:after="0"/>
              <w:jc w:val="both"/>
              <w:textAlignment w:val="auto"/>
              <w:outlineLvl w:val="9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2. Про результати  атестації педагогічних працівників.</w:t>
            </w:r>
          </w:p>
          <w:p w:rsidR="00507BAF" w:rsidRPr="00507BAF" w:rsidRDefault="00507BAF" w:rsidP="00507BAF">
            <w:pPr>
              <w:spacing w:after="0"/>
              <w:jc w:val="both"/>
              <w:textAlignment w:val="auto"/>
              <w:outlineLvl w:val="9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07BA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Протокол.</w:t>
            </w:r>
          </w:p>
        </w:tc>
      </w:tr>
      <w:tr w:rsidR="00507BAF" w:rsidRPr="00507BAF" w:rsidTr="003646E2">
        <w:trPr>
          <w:trHeight w:val="479"/>
        </w:trPr>
        <w:tc>
          <w:tcPr>
            <w:tcW w:w="1652" w:type="dxa"/>
          </w:tcPr>
          <w:p w:rsidR="00507BAF" w:rsidRPr="00507BAF" w:rsidRDefault="00507BAF" w:rsidP="00507BAF">
            <w:pPr>
              <w:spacing w:after="0"/>
              <w:ind w:hanging="108"/>
              <w:jc w:val="both"/>
              <w:textAlignment w:val="auto"/>
              <w:outlineLvl w:val="9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507BA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01.09.2025 р.</w:t>
            </w:r>
          </w:p>
        </w:tc>
        <w:tc>
          <w:tcPr>
            <w:tcW w:w="7988" w:type="dxa"/>
          </w:tcPr>
          <w:p w:rsidR="00507BAF" w:rsidRPr="00507BAF" w:rsidRDefault="00507BAF" w:rsidP="00507BAF">
            <w:pPr>
              <w:spacing w:after="0"/>
              <w:jc w:val="both"/>
              <w:textAlignment w:val="auto"/>
              <w:outlineLvl w:val="9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1. Про присвоєння кваліфікаційної категорії «спеціаліст», педагогі</w:t>
            </w: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ч</w:t>
            </w:r>
            <w:r w:rsidRPr="00507BAF">
              <w:rPr>
                <w:rFonts w:ascii="Times New Roman" w:hAnsi="Times New Roman"/>
                <w:sz w:val="26"/>
                <w:szCs w:val="26"/>
                <w:lang w:val="uk-UA"/>
              </w:rPr>
              <w:t>ному працівнику, який прийнятий на роботу (за потреби)</w:t>
            </w:r>
          </w:p>
          <w:p w:rsidR="00507BAF" w:rsidRPr="00507BAF" w:rsidRDefault="00507BAF" w:rsidP="00507BAF">
            <w:pPr>
              <w:spacing w:after="0"/>
              <w:jc w:val="both"/>
              <w:textAlignment w:val="auto"/>
              <w:outlineLvl w:val="9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07BA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Протокол.</w:t>
            </w:r>
          </w:p>
        </w:tc>
      </w:tr>
    </w:tbl>
    <w:p w:rsidR="0054134B" w:rsidRDefault="0054134B">
      <w:pPr>
        <w:pStyle w:val="LO-normal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134B" w:rsidRDefault="0054134B">
      <w:pPr>
        <w:pStyle w:val="LO-normal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134B" w:rsidRDefault="0054134B">
      <w:pPr>
        <w:pStyle w:val="LO-normal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54134B" w:rsidSect="001176F9">
      <w:pgSz w:w="11906" w:h="16838"/>
      <w:pgMar w:top="426" w:right="850" w:bottom="1134" w:left="1701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74263"/>
    <w:multiLevelType w:val="multilevel"/>
    <w:tmpl w:val="1AB2A8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6152D96"/>
    <w:multiLevelType w:val="multilevel"/>
    <w:tmpl w:val="C39A69C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position w:val="0"/>
        <w:sz w:val="28"/>
        <w:szCs w:val="28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position w:val="0"/>
        <w:sz w:val="20"/>
        <w:vertAlign w:val="baseline"/>
      </w:rPr>
    </w:lvl>
  </w:abstractNum>
  <w:abstractNum w:abstractNumId="2">
    <w:nsid w:val="2A3146EA"/>
    <w:multiLevelType w:val="multilevel"/>
    <w:tmpl w:val="8344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8"/>
        <w:szCs w:val="28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342B08"/>
    <w:rsid w:val="00067FB3"/>
    <w:rsid w:val="001176F9"/>
    <w:rsid w:val="0017114B"/>
    <w:rsid w:val="001C7D92"/>
    <w:rsid w:val="002F3230"/>
    <w:rsid w:val="00342B08"/>
    <w:rsid w:val="004C0EE4"/>
    <w:rsid w:val="00507BAF"/>
    <w:rsid w:val="0054134B"/>
    <w:rsid w:val="005F1E95"/>
    <w:rsid w:val="00725F43"/>
    <w:rsid w:val="0075293B"/>
    <w:rsid w:val="007D67D9"/>
    <w:rsid w:val="00996999"/>
    <w:rsid w:val="00A710E9"/>
    <w:rsid w:val="00AA296D"/>
    <w:rsid w:val="00AC79C6"/>
    <w:rsid w:val="00B52341"/>
    <w:rsid w:val="00C70D3E"/>
    <w:rsid w:val="00CA438A"/>
    <w:rsid w:val="00CF78C1"/>
    <w:rsid w:val="00D44582"/>
    <w:rsid w:val="00D903C1"/>
    <w:rsid w:val="00DF33E7"/>
    <w:rsid w:val="00E14F51"/>
    <w:rsid w:val="00F6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EE4"/>
    <w:pPr>
      <w:spacing w:after="200" w:line="276" w:lineRule="auto"/>
      <w:textAlignment w:val="top"/>
      <w:outlineLvl w:val="0"/>
    </w:pPr>
    <w:rPr>
      <w:sz w:val="22"/>
      <w:szCs w:val="22"/>
      <w:lang w:val="ru-RU" w:eastAsia="ru-RU" w:bidi="ar-SA"/>
    </w:rPr>
  </w:style>
  <w:style w:type="paragraph" w:styleId="1">
    <w:name w:val="heading 1"/>
    <w:basedOn w:val="LO-normal"/>
    <w:next w:val="LO-normal"/>
    <w:qFormat/>
    <w:rsid w:val="004C0EE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qFormat/>
    <w:rsid w:val="004C0EE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qFormat/>
    <w:rsid w:val="004C0EE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qFormat/>
    <w:rsid w:val="004C0EE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qFormat/>
    <w:rsid w:val="004C0EE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LO-normal"/>
    <w:next w:val="LO-normal"/>
    <w:qFormat/>
    <w:rsid w:val="004C0EE4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qFormat/>
    <w:rsid w:val="004C0EE4"/>
    <w:rPr>
      <w:rFonts w:ascii="Tahoma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a4">
    <w:name w:val="Маркери"/>
    <w:qFormat/>
    <w:rsid w:val="004C0EE4"/>
    <w:rPr>
      <w:rFonts w:ascii="OpenSymbol" w:eastAsia="OpenSymbol" w:hAnsi="OpenSymbol" w:cs="OpenSymbol"/>
      <w:sz w:val="28"/>
      <w:szCs w:val="28"/>
    </w:rPr>
  </w:style>
  <w:style w:type="paragraph" w:customStyle="1" w:styleId="a5">
    <w:name w:val="Заголовок"/>
    <w:basedOn w:val="a"/>
    <w:next w:val="a6"/>
    <w:qFormat/>
    <w:rsid w:val="004C0EE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4C0EE4"/>
    <w:pPr>
      <w:spacing w:after="140"/>
    </w:pPr>
  </w:style>
  <w:style w:type="paragraph" w:styleId="a7">
    <w:name w:val="List"/>
    <w:basedOn w:val="a6"/>
    <w:rsid w:val="004C0EE4"/>
    <w:rPr>
      <w:rFonts w:cs="Arial"/>
    </w:rPr>
  </w:style>
  <w:style w:type="paragraph" w:styleId="a8">
    <w:name w:val="caption"/>
    <w:basedOn w:val="a"/>
    <w:qFormat/>
    <w:rsid w:val="004C0EE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rsid w:val="004C0EE4"/>
    <w:pPr>
      <w:suppressLineNumbers/>
    </w:pPr>
    <w:rPr>
      <w:rFonts w:cs="Arial"/>
    </w:rPr>
  </w:style>
  <w:style w:type="paragraph" w:customStyle="1" w:styleId="LO-normal">
    <w:name w:val="LO-normal"/>
    <w:qFormat/>
    <w:rsid w:val="004C0EE4"/>
  </w:style>
  <w:style w:type="paragraph" w:styleId="aa">
    <w:name w:val="Title"/>
    <w:basedOn w:val="LO-normal"/>
    <w:next w:val="LO-normal"/>
    <w:qFormat/>
    <w:rsid w:val="004C0EE4"/>
    <w:pPr>
      <w:keepNext/>
      <w:keepLines/>
      <w:spacing w:before="480" w:after="120"/>
    </w:pPr>
    <w:rPr>
      <w:b/>
      <w:sz w:val="72"/>
      <w:szCs w:val="72"/>
    </w:rPr>
  </w:style>
  <w:style w:type="paragraph" w:styleId="ab">
    <w:name w:val="Balloon Text"/>
    <w:basedOn w:val="a"/>
    <w:qFormat/>
    <w:rsid w:val="004C0EE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Subtitle"/>
    <w:basedOn w:val="LO-normal"/>
    <w:next w:val="LO-normal"/>
    <w:qFormat/>
    <w:rsid w:val="004C0EE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d">
    <w:name w:val="Вміст таблиці"/>
    <w:basedOn w:val="a"/>
    <w:qFormat/>
    <w:rsid w:val="004C0EE4"/>
    <w:pPr>
      <w:widowControl w:val="0"/>
      <w:suppressLineNumbers/>
    </w:pPr>
  </w:style>
  <w:style w:type="paragraph" w:customStyle="1" w:styleId="ae">
    <w:name w:val="Заголовок таблиці"/>
    <w:basedOn w:val="ad"/>
    <w:qFormat/>
    <w:rsid w:val="004C0EE4"/>
    <w:pPr>
      <w:jc w:val="center"/>
    </w:pPr>
    <w:rPr>
      <w:b/>
      <w:bCs/>
    </w:rPr>
  </w:style>
  <w:style w:type="table" w:customStyle="1" w:styleId="TableNormal">
    <w:name w:val="Table Normal"/>
    <w:rsid w:val="004C0EE4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">
    <w:name w:val="Table Grid"/>
    <w:basedOn w:val="a1"/>
    <w:qFormat/>
    <w:rsid w:val="004C0EE4"/>
    <w:pPr>
      <w:spacing w:line="1" w:lineRule="atLeas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ітка таблиці1"/>
    <w:basedOn w:val="a1"/>
    <w:next w:val="af"/>
    <w:uiPriority w:val="59"/>
    <w:rsid w:val="00507BAF"/>
    <w:pPr>
      <w:suppressAutoHyphens w:val="0"/>
    </w:pPr>
    <w:rPr>
      <w:rFonts w:eastAsia="Times New Roman" w:cs="Times New Roman"/>
      <w:sz w:val="22"/>
      <w:szCs w:val="22"/>
      <w:lang w:val="ru-RU" w:eastAsia="ru-RU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  <w:textAlignment w:val="top"/>
      <w:outlineLvl w:val="0"/>
    </w:pPr>
    <w:rPr>
      <w:sz w:val="22"/>
      <w:szCs w:val="22"/>
      <w:lang w:val="ru-RU" w:eastAsia="ru-RU" w:bidi="ar-SA"/>
    </w:rPr>
  </w:style>
  <w:style w:type="paragraph" w:styleId="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qFormat/>
    <w:rPr>
      <w:rFonts w:ascii="Tahoma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a4">
    <w:name w:val="Маркери"/>
    <w:qFormat/>
    <w:rPr>
      <w:rFonts w:ascii="OpenSymbol" w:eastAsia="OpenSymbol" w:hAnsi="OpenSymbol" w:cs="OpenSymbol"/>
      <w:sz w:val="28"/>
      <w:szCs w:val="2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LO-normal">
    <w:name w:val="LO-normal"/>
    <w:qFormat/>
  </w:style>
  <w:style w:type="paragraph" w:styleId="aa">
    <w:name w:val="Title"/>
    <w:basedOn w:val="LO-normal"/>
    <w:next w:val="LO-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b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d">
    <w:name w:val="Вміст таблиці"/>
    <w:basedOn w:val="a"/>
    <w:qFormat/>
    <w:pPr>
      <w:widowControl w:val="0"/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">
    <w:name w:val="Table Grid"/>
    <w:basedOn w:val="a1"/>
    <w:qFormat/>
    <w:pPr>
      <w:spacing w:line="1" w:lineRule="atLeas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it5rIYQnfa9Oj5KFFnH/REKntCQ==">CgMxLjA4AHIhMThCcXZvMGhOQzYzdTdES3pETWowdk9hTlFwSEFzWWJB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1825</Words>
  <Characters>1041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2025-10-13T13:45:00Z</cp:lastPrinted>
  <dcterms:created xsi:type="dcterms:W3CDTF">2025-10-17T10:53:00Z</dcterms:created>
  <dcterms:modified xsi:type="dcterms:W3CDTF">2025-10-17T10:53:00Z</dcterms:modified>
  <dc:language>uk-UA</dc:language>
</cp:coreProperties>
</file>