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B11" w:rsidRDefault="0013234F" w:rsidP="0013234F">
      <w:pPr>
        <w:shd w:val="clear" w:color="auto" w:fill="FFFFFF"/>
        <w:spacing w:after="150" w:line="300" w:lineRule="atLeast"/>
        <w:jc w:val="center"/>
        <w:rPr>
          <w:rFonts w:eastAsia="Times New Roman"/>
          <w:b/>
          <w:bCs/>
          <w:lang w:eastAsia="uk-UA"/>
        </w:rPr>
      </w:pPr>
      <w:r>
        <w:rPr>
          <w:noProof/>
          <w:lang w:eastAsia="uk-UA"/>
        </w:rPr>
        <w:drawing>
          <wp:inline distT="0" distB="0" distL="0" distR="0" wp14:anchorId="65F081DF" wp14:editId="31E43155">
            <wp:extent cx="396875" cy="548005"/>
            <wp:effectExtent l="0" t="0" r="3175" b="444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234F" w:rsidRDefault="00E9330F" w:rsidP="0013234F">
      <w:pPr>
        <w:jc w:val="center"/>
        <w:outlineLv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 w:rsidR="0013234F">
        <w:rPr>
          <w:sz w:val="24"/>
          <w:szCs w:val="24"/>
          <w:lang w:eastAsia="ru-RU"/>
        </w:rPr>
        <w:t>УКРАЇНА</w:t>
      </w:r>
    </w:p>
    <w:p w:rsidR="00E9330F" w:rsidRPr="00E9330F" w:rsidRDefault="00E9330F" w:rsidP="00E9330F">
      <w:pPr>
        <w:ind w:firstLine="567"/>
        <w:jc w:val="center"/>
        <w:outlineLvl w:val="0"/>
        <w:rPr>
          <w:rFonts w:eastAsia="Times New Roman"/>
          <w:b/>
          <w:lang w:eastAsia="ru-RU"/>
        </w:rPr>
      </w:pPr>
      <w:r w:rsidRPr="00E9330F">
        <w:rPr>
          <w:rFonts w:eastAsia="Times New Roman"/>
          <w:b/>
          <w:lang w:eastAsia="ru-RU"/>
        </w:rPr>
        <w:t xml:space="preserve">О Л Е К С И Ц Ь К А    Г І М Н А З І Я                                              </w:t>
      </w:r>
    </w:p>
    <w:p w:rsidR="00E9330F" w:rsidRPr="00E9330F" w:rsidRDefault="00E9330F" w:rsidP="00E9330F">
      <w:pPr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E9330F">
        <w:rPr>
          <w:rFonts w:eastAsia="Times New Roman"/>
          <w:sz w:val="24"/>
          <w:szCs w:val="24"/>
          <w:lang w:eastAsia="ru-RU"/>
        </w:rPr>
        <w:t xml:space="preserve">СТРИЙСЬКОЇ  МІСЬКОЇ  РАДИ  </w:t>
      </w:r>
    </w:p>
    <w:p w:rsidR="00E9330F" w:rsidRPr="00E9330F" w:rsidRDefault="00E9330F" w:rsidP="00E9330F">
      <w:pPr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E9330F">
        <w:rPr>
          <w:rFonts w:eastAsia="Times New Roman"/>
          <w:sz w:val="24"/>
          <w:szCs w:val="24"/>
          <w:lang w:eastAsia="ru-RU"/>
        </w:rPr>
        <w:t xml:space="preserve">СТРИЙСЬКОГО РАЙОНУ  ЛЬВІВСЬКОЇ ОБЛАСТІ     </w:t>
      </w:r>
    </w:p>
    <w:p w:rsidR="00CB4B11" w:rsidRDefault="00CB4B11" w:rsidP="001266A6">
      <w:pPr>
        <w:tabs>
          <w:tab w:val="left" w:pos="3969"/>
        </w:tabs>
        <w:ind w:firstLine="567"/>
        <w:jc w:val="center"/>
        <w:rPr>
          <w:rFonts w:eastAsia="Times New Roman"/>
          <w:b/>
          <w:lang w:eastAsia="ru-RU"/>
        </w:rPr>
      </w:pPr>
    </w:p>
    <w:p w:rsidR="00CB4B11" w:rsidRPr="00E9330F" w:rsidRDefault="00E9330F" w:rsidP="00E9330F">
      <w:pPr>
        <w:ind w:firstLine="567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                          </w:t>
      </w:r>
    </w:p>
    <w:p w:rsidR="004D227A" w:rsidRPr="00CB4B11" w:rsidRDefault="004D227A" w:rsidP="004D227A">
      <w:pPr>
        <w:shd w:val="clear" w:color="auto" w:fill="FFFFFF"/>
        <w:spacing w:after="150" w:line="300" w:lineRule="atLeast"/>
        <w:jc w:val="center"/>
        <w:rPr>
          <w:rFonts w:eastAsia="Times New Roman"/>
          <w:lang w:eastAsia="uk-UA"/>
        </w:rPr>
      </w:pPr>
      <w:r w:rsidRPr="00CB4B11">
        <w:rPr>
          <w:rFonts w:eastAsia="Times New Roman"/>
          <w:b/>
          <w:bCs/>
          <w:lang w:eastAsia="uk-UA"/>
        </w:rPr>
        <w:t>НАКАЗ</w:t>
      </w:r>
    </w:p>
    <w:p w:rsidR="0049659A" w:rsidRDefault="0049659A" w:rsidP="004D227A">
      <w:pPr>
        <w:shd w:val="clear" w:color="auto" w:fill="FFFFFF"/>
        <w:spacing w:after="150" w:line="300" w:lineRule="atLeast"/>
        <w:jc w:val="left"/>
        <w:rPr>
          <w:rFonts w:eastAsia="Times New Roman"/>
          <w:lang w:eastAsia="uk-UA"/>
        </w:rPr>
      </w:pPr>
    </w:p>
    <w:p w:rsidR="00CB4B11" w:rsidRDefault="0049659A" w:rsidP="0049659A">
      <w:pPr>
        <w:shd w:val="clear" w:color="auto" w:fill="FFFFFF"/>
        <w:tabs>
          <w:tab w:val="left" w:pos="3828"/>
        </w:tabs>
        <w:spacing w:after="150" w:line="300" w:lineRule="atLeast"/>
        <w:jc w:val="left"/>
        <w:rPr>
          <w:rFonts w:eastAsia="Times New Roman"/>
          <w:lang w:eastAsia="uk-UA"/>
        </w:rPr>
      </w:pPr>
      <w:r w:rsidRPr="00D93080">
        <w:rPr>
          <w:rFonts w:eastAsia="Times New Roman"/>
          <w:lang w:eastAsia="uk-UA"/>
        </w:rPr>
        <w:t xml:space="preserve">            </w:t>
      </w:r>
      <w:r w:rsidR="00A56781">
        <w:rPr>
          <w:rFonts w:eastAsia="Times New Roman"/>
          <w:u w:val="single"/>
          <w:lang w:eastAsia="uk-UA"/>
        </w:rPr>
        <w:t>1</w:t>
      </w:r>
      <w:r w:rsidR="00A209B0">
        <w:rPr>
          <w:rFonts w:eastAsia="Times New Roman"/>
          <w:u w:val="single"/>
          <w:lang w:eastAsia="uk-UA"/>
        </w:rPr>
        <w:t>2</w:t>
      </w:r>
      <w:r w:rsidR="00FE5D41">
        <w:rPr>
          <w:rFonts w:eastAsia="Times New Roman"/>
          <w:u w:val="single"/>
          <w:lang w:eastAsia="uk-UA"/>
        </w:rPr>
        <w:t xml:space="preserve"> </w:t>
      </w:r>
      <w:r w:rsidR="00E9330F">
        <w:rPr>
          <w:rFonts w:eastAsia="Times New Roman"/>
          <w:u w:val="single"/>
          <w:lang w:eastAsia="uk-UA"/>
        </w:rPr>
        <w:t xml:space="preserve"> </w:t>
      </w:r>
      <w:r w:rsidR="00A209B0">
        <w:rPr>
          <w:rFonts w:eastAsia="Times New Roman"/>
          <w:u w:val="single"/>
          <w:lang w:eastAsia="uk-UA"/>
        </w:rPr>
        <w:t>черв</w:t>
      </w:r>
      <w:r w:rsidR="00FE5D41">
        <w:rPr>
          <w:rFonts w:eastAsia="Times New Roman"/>
          <w:u w:val="single"/>
          <w:lang w:eastAsia="uk-UA"/>
        </w:rPr>
        <w:t xml:space="preserve">ня </w:t>
      </w:r>
      <w:r w:rsidR="00E9330F">
        <w:rPr>
          <w:rFonts w:eastAsia="Times New Roman"/>
          <w:u w:val="single"/>
          <w:lang w:eastAsia="uk-UA"/>
        </w:rPr>
        <w:t xml:space="preserve"> </w:t>
      </w:r>
      <w:r w:rsidR="00A25FAB">
        <w:rPr>
          <w:rFonts w:eastAsia="Times New Roman"/>
          <w:u w:val="single"/>
          <w:lang w:eastAsia="uk-UA"/>
        </w:rPr>
        <w:t>2025</w:t>
      </w:r>
      <w:r w:rsidR="00E9330F">
        <w:rPr>
          <w:rFonts w:eastAsia="Times New Roman"/>
          <w:u w:val="single"/>
          <w:lang w:eastAsia="uk-UA"/>
        </w:rPr>
        <w:t xml:space="preserve"> </w:t>
      </w:r>
      <w:r w:rsidRPr="00D93080">
        <w:rPr>
          <w:rFonts w:eastAsia="Times New Roman"/>
          <w:u w:val="single"/>
          <w:lang w:eastAsia="uk-UA"/>
        </w:rPr>
        <w:t xml:space="preserve"> р.</w:t>
      </w:r>
      <w:r>
        <w:rPr>
          <w:rFonts w:eastAsia="Times New Roman"/>
          <w:lang w:eastAsia="uk-UA"/>
        </w:rPr>
        <w:t xml:space="preserve">                                              </w:t>
      </w:r>
      <w:r w:rsidR="001266A6">
        <w:rPr>
          <w:rFonts w:eastAsia="Times New Roman"/>
          <w:lang w:eastAsia="uk-UA"/>
        </w:rPr>
        <w:t xml:space="preserve">        </w:t>
      </w:r>
      <w:r w:rsidR="001266A6" w:rsidRPr="008255DE">
        <w:rPr>
          <w:rFonts w:eastAsia="Times New Roman"/>
          <w:u w:val="single"/>
          <w:lang w:eastAsia="uk-UA"/>
        </w:rPr>
        <w:t xml:space="preserve"> </w:t>
      </w:r>
      <w:r w:rsidR="00CB4B11" w:rsidRPr="00E9330F">
        <w:rPr>
          <w:rFonts w:eastAsia="Times New Roman"/>
          <w:u w:val="single"/>
          <w:lang w:eastAsia="uk-UA"/>
        </w:rPr>
        <w:t>№</w:t>
      </w:r>
      <w:r w:rsidR="004D227A" w:rsidRPr="008255DE">
        <w:rPr>
          <w:rFonts w:eastAsia="Times New Roman"/>
          <w:b/>
          <w:u w:val="single"/>
          <w:lang w:eastAsia="uk-UA"/>
        </w:rPr>
        <w:t>  </w:t>
      </w:r>
      <w:r w:rsidR="004D227A" w:rsidRPr="00274CB2">
        <w:rPr>
          <w:rFonts w:eastAsia="Times New Roman"/>
          <w:u w:val="single"/>
          <w:lang w:eastAsia="uk-UA"/>
        </w:rPr>
        <w:t> </w:t>
      </w:r>
      <w:r w:rsidR="00B66654">
        <w:rPr>
          <w:rFonts w:eastAsia="Times New Roman"/>
          <w:u w:val="single"/>
          <w:lang w:eastAsia="uk-UA"/>
        </w:rPr>
        <w:t>104</w:t>
      </w:r>
      <w:bookmarkStart w:id="0" w:name="_GoBack"/>
      <w:bookmarkEnd w:id="0"/>
      <w:r w:rsidR="004D227A" w:rsidRPr="008255DE">
        <w:rPr>
          <w:rFonts w:eastAsia="Times New Roman"/>
          <w:b/>
          <w:u w:val="single"/>
          <w:lang w:eastAsia="uk-UA"/>
        </w:rPr>
        <w:t> </w:t>
      </w:r>
      <w:r w:rsidR="004D227A" w:rsidRPr="008255DE">
        <w:rPr>
          <w:rFonts w:eastAsia="Times New Roman"/>
          <w:u w:val="single"/>
          <w:lang w:eastAsia="uk-UA"/>
        </w:rPr>
        <w:t>          </w:t>
      </w:r>
      <w:r w:rsidR="004D227A" w:rsidRPr="00CB4B11">
        <w:rPr>
          <w:rFonts w:eastAsia="Times New Roman"/>
          <w:lang w:eastAsia="uk-UA"/>
        </w:rPr>
        <w:t>      </w:t>
      </w:r>
    </w:p>
    <w:p w:rsidR="0049659A" w:rsidRDefault="0049659A" w:rsidP="004D227A">
      <w:pPr>
        <w:shd w:val="clear" w:color="auto" w:fill="FFFFFF"/>
        <w:spacing w:after="150" w:line="300" w:lineRule="atLeast"/>
        <w:jc w:val="left"/>
        <w:rPr>
          <w:rFonts w:eastAsia="Times New Roman"/>
          <w:b/>
          <w:lang w:eastAsia="uk-UA"/>
        </w:rPr>
      </w:pPr>
    </w:p>
    <w:p w:rsidR="00630350" w:rsidRDefault="009C3D27" w:rsidP="001266A6">
      <w:pPr>
        <w:shd w:val="clear" w:color="auto" w:fill="FFFFFF"/>
        <w:spacing w:line="300" w:lineRule="atLeast"/>
        <w:jc w:val="lef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Про</w:t>
      </w:r>
      <w:r w:rsidR="00D92947">
        <w:rPr>
          <w:rFonts w:eastAsia="Times New Roman"/>
          <w:b/>
          <w:lang w:eastAsia="uk-UA"/>
        </w:rPr>
        <w:t xml:space="preserve"> </w:t>
      </w:r>
      <w:r w:rsidR="00630350">
        <w:rPr>
          <w:rFonts w:eastAsia="Times New Roman"/>
          <w:b/>
          <w:lang w:eastAsia="uk-UA"/>
        </w:rPr>
        <w:t xml:space="preserve">узагальнення результатів </w:t>
      </w:r>
      <w:r>
        <w:rPr>
          <w:rFonts w:eastAsia="Times New Roman"/>
          <w:b/>
          <w:lang w:eastAsia="uk-UA"/>
        </w:rPr>
        <w:t xml:space="preserve"> </w:t>
      </w:r>
    </w:p>
    <w:p w:rsidR="00630350" w:rsidRDefault="002B6306" w:rsidP="001266A6">
      <w:pPr>
        <w:shd w:val="clear" w:color="auto" w:fill="FFFFFF"/>
        <w:spacing w:line="300" w:lineRule="atLeast"/>
        <w:jc w:val="left"/>
        <w:rPr>
          <w:rFonts w:eastAsia="Times New Roman"/>
          <w:b/>
          <w:lang w:eastAsia="uk-UA"/>
        </w:rPr>
      </w:pPr>
      <w:proofErr w:type="spellStart"/>
      <w:r>
        <w:rPr>
          <w:rFonts w:eastAsia="Times New Roman"/>
          <w:b/>
          <w:lang w:eastAsia="uk-UA"/>
        </w:rPr>
        <w:t>самооцінювання</w:t>
      </w:r>
      <w:proofErr w:type="spellEnd"/>
      <w:r>
        <w:rPr>
          <w:rFonts w:eastAsia="Times New Roman"/>
          <w:b/>
          <w:lang w:eastAsia="uk-UA"/>
        </w:rPr>
        <w:t xml:space="preserve"> </w:t>
      </w:r>
      <w:r w:rsidR="00630350">
        <w:rPr>
          <w:rFonts w:eastAsia="Times New Roman"/>
          <w:b/>
          <w:lang w:eastAsia="uk-UA"/>
        </w:rPr>
        <w:t xml:space="preserve">з розбудови </w:t>
      </w:r>
    </w:p>
    <w:p w:rsidR="00630350" w:rsidRDefault="00630350" w:rsidP="001266A6">
      <w:pPr>
        <w:shd w:val="clear" w:color="auto" w:fill="FFFFFF"/>
        <w:spacing w:line="300" w:lineRule="atLeast"/>
        <w:jc w:val="lef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внутрішньої системи якості освіти</w:t>
      </w:r>
    </w:p>
    <w:p w:rsidR="001266A6" w:rsidRDefault="000725A9" w:rsidP="001266A6">
      <w:pPr>
        <w:shd w:val="clear" w:color="auto" w:fill="FFFFFF"/>
        <w:spacing w:line="300" w:lineRule="atLeast"/>
        <w:jc w:val="lef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 xml:space="preserve">за </w:t>
      </w:r>
      <w:r w:rsidR="001266A6">
        <w:rPr>
          <w:rFonts w:eastAsia="Times New Roman"/>
          <w:b/>
          <w:lang w:eastAsia="uk-UA"/>
        </w:rPr>
        <w:t xml:space="preserve">напрямком </w:t>
      </w:r>
      <w:r w:rsidR="009C3D27">
        <w:rPr>
          <w:rFonts w:eastAsia="Times New Roman"/>
          <w:b/>
          <w:lang w:eastAsia="uk-UA"/>
        </w:rPr>
        <w:t xml:space="preserve"> </w:t>
      </w:r>
      <w:r w:rsidR="00A56781">
        <w:rPr>
          <w:rFonts w:eastAsia="Times New Roman"/>
          <w:b/>
          <w:lang w:eastAsia="uk-UA"/>
        </w:rPr>
        <w:t>2</w:t>
      </w:r>
    </w:p>
    <w:p w:rsidR="004D227A" w:rsidRDefault="00FE5D41" w:rsidP="001266A6">
      <w:pPr>
        <w:shd w:val="clear" w:color="auto" w:fill="FFFFFF"/>
        <w:spacing w:line="300" w:lineRule="atLeast"/>
        <w:jc w:val="left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«</w:t>
      </w:r>
      <w:r w:rsidR="009C3D27" w:rsidRPr="009C3D27">
        <w:rPr>
          <w:rFonts w:eastAsia="Times New Roman"/>
          <w:b/>
          <w:lang w:eastAsia="uk-UA"/>
        </w:rPr>
        <w:t>Система оцінювання результатів навчання учнів</w:t>
      </w:r>
      <w:r>
        <w:rPr>
          <w:rFonts w:eastAsia="Times New Roman"/>
          <w:b/>
        </w:rPr>
        <w:t>»</w:t>
      </w:r>
    </w:p>
    <w:p w:rsidR="001266A6" w:rsidRPr="001266A6" w:rsidRDefault="001266A6" w:rsidP="001266A6">
      <w:pPr>
        <w:shd w:val="clear" w:color="auto" w:fill="FFFFFF"/>
        <w:spacing w:line="300" w:lineRule="atLeast"/>
        <w:jc w:val="left"/>
        <w:rPr>
          <w:rFonts w:eastAsia="Times New Roman"/>
          <w:b/>
          <w:lang w:eastAsia="uk-UA"/>
        </w:rPr>
      </w:pPr>
    </w:p>
    <w:p w:rsidR="00A56781" w:rsidRPr="00A56781" w:rsidRDefault="004D227A" w:rsidP="00A56781">
      <w:pPr>
        <w:shd w:val="clear" w:color="auto" w:fill="FFFFFF"/>
        <w:rPr>
          <w:rFonts w:eastAsia="Times New Roman"/>
          <w:lang w:eastAsia="uk-UA"/>
        </w:rPr>
      </w:pPr>
      <w:r w:rsidRPr="00A56781">
        <w:rPr>
          <w:rFonts w:eastAsia="Times New Roman"/>
          <w:color w:val="FF0000"/>
          <w:lang w:eastAsia="uk-UA"/>
        </w:rPr>
        <w:t>     </w:t>
      </w:r>
    </w:p>
    <w:p w:rsidR="00A209B0" w:rsidRPr="00516391" w:rsidRDefault="00A56781" w:rsidP="00A209B0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A56781">
        <w:rPr>
          <w:rFonts w:eastAsia="Times New Roman"/>
          <w:lang w:eastAsia="uk-UA"/>
        </w:rPr>
        <w:t>       </w:t>
      </w:r>
      <w:r w:rsidR="00A209B0" w:rsidRPr="00A209B0">
        <w:rPr>
          <w:rFonts w:eastAsia="Times New Roman"/>
          <w:lang w:eastAsia="uk-UA"/>
        </w:rPr>
        <w:t>Відповідно до Законів України «Про освіту» (стаття 41, частини 3 ст.48) 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№54, зареєстрованим в Міністерстві юстиції України 10 лютого 2020 року за №</w:t>
      </w:r>
      <w:hyperlink r:id="rId9" w:tgtFrame="_blank" w:history="1">
        <w:r w:rsidR="00A209B0" w:rsidRPr="00A209B0">
          <w:rPr>
            <w:rFonts w:eastAsia="Times New Roman"/>
            <w:lang w:eastAsia="uk-UA"/>
          </w:rPr>
          <w:t>1</w:t>
        </w:r>
        <w:r w:rsidR="00A209B0">
          <w:rPr>
            <w:rFonts w:eastAsia="Times New Roman"/>
            <w:lang w:eastAsia="uk-UA"/>
          </w:rPr>
          <w:t xml:space="preserve"> </w:t>
        </w:r>
        <w:r w:rsidR="00A209B0" w:rsidRPr="00A209B0">
          <w:rPr>
            <w:rFonts w:eastAsia="Times New Roman"/>
            <w:lang w:eastAsia="uk-UA"/>
          </w:rPr>
          <w:t>54/34437</w:t>
        </w:r>
      </w:hyperlink>
      <w:r w:rsidR="00A209B0" w:rsidRPr="00A209B0">
        <w:rPr>
          <w:rFonts w:eastAsia="Times New Roman"/>
          <w:lang w:eastAsia="uk-UA"/>
        </w:rPr>
        <w:t>, 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</w:t>
      </w:r>
      <w:r w:rsidR="00A209B0">
        <w:rPr>
          <w:rFonts w:eastAsia="Times New Roman"/>
          <w:lang w:eastAsia="uk-UA"/>
        </w:rPr>
        <w:t xml:space="preserve"> </w:t>
      </w:r>
      <w:r w:rsidR="00A209B0" w:rsidRPr="00A209B0">
        <w:rPr>
          <w:rFonts w:eastAsia="Times New Roman"/>
          <w:lang w:eastAsia="uk-UA"/>
        </w:rPr>
        <w:t>1480, Положення про внутрішню систему забезпечення якості освіти закладу, наказу</w:t>
      </w:r>
      <w:r w:rsidR="00A209B0">
        <w:rPr>
          <w:rFonts w:eastAsia="Times New Roman"/>
          <w:lang w:eastAsia="uk-UA"/>
        </w:rPr>
        <w:t xml:space="preserve"> гімназії</w:t>
      </w:r>
      <w:r w:rsidR="00A209B0" w:rsidRPr="00A209B0">
        <w:rPr>
          <w:rFonts w:eastAsia="Times New Roman"/>
          <w:lang w:eastAsia="uk-UA"/>
        </w:rPr>
        <w:t xml:space="preserve">  від  </w:t>
      </w:r>
      <w:r w:rsidR="00A209B0">
        <w:rPr>
          <w:rFonts w:eastAsia="Times New Roman"/>
          <w:lang w:eastAsia="uk-UA"/>
        </w:rPr>
        <w:t xml:space="preserve">18.12.2024 р. </w:t>
      </w:r>
      <w:r w:rsidR="00A209B0" w:rsidRPr="00A209B0">
        <w:rPr>
          <w:rFonts w:eastAsia="Times New Roman"/>
          <w:lang w:eastAsia="uk-UA"/>
        </w:rPr>
        <w:t xml:space="preserve"> № </w:t>
      </w:r>
      <w:r w:rsidR="00274CB2">
        <w:rPr>
          <w:rFonts w:eastAsia="Times New Roman"/>
          <w:lang w:eastAsia="uk-UA"/>
        </w:rPr>
        <w:t>135</w:t>
      </w:r>
      <w:r w:rsidR="00A209B0" w:rsidRPr="00A209B0">
        <w:rPr>
          <w:rFonts w:eastAsia="Times New Roman"/>
          <w:lang w:eastAsia="uk-UA"/>
        </w:rPr>
        <w:t xml:space="preserve"> </w:t>
      </w:r>
      <w:r w:rsidR="00A209B0">
        <w:rPr>
          <w:rFonts w:eastAsia="Times New Roman"/>
          <w:lang w:eastAsia="uk-UA"/>
        </w:rPr>
        <w:t xml:space="preserve"> </w:t>
      </w:r>
      <w:r w:rsidR="00A209B0" w:rsidRPr="00A209B0">
        <w:rPr>
          <w:rFonts w:eastAsia="Times New Roman"/>
          <w:lang w:eastAsia="uk-UA"/>
        </w:rPr>
        <w:t xml:space="preserve"> «Про </w:t>
      </w:r>
      <w:r w:rsidR="00A209B0">
        <w:rPr>
          <w:rFonts w:eastAsia="Times New Roman"/>
          <w:lang w:eastAsia="uk-UA"/>
        </w:rPr>
        <w:t xml:space="preserve">створення робочої та  моніторингової групи та </w:t>
      </w:r>
      <w:r w:rsidR="00A209B0" w:rsidRPr="00A209B0">
        <w:rPr>
          <w:rFonts w:eastAsia="Times New Roman"/>
          <w:lang w:eastAsia="uk-UA"/>
        </w:rPr>
        <w:t>проведення</w:t>
      </w:r>
      <w:r w:rsidR="00A209B0" w:rsidRPr="00A209B0">
        <w:rPr>
          <w:rFonts w:ascii="Calibri" w:hAnsi="Calibri"/>
          <w:sz w:val="22"/>
          <w:szCs w:val="22"/>
        </w:rPr>
        <w:t xml:space="preserve"> </w:t>
      </w:r>
      <w:r w:rsidR="00A209B0">
        <w:rPr>
          <w:rFonts w:eastAsia="Times New Roman"/>
          <w:lang w:eastAsia="uk-UA"/>
        </w:rPr>
        <w:t>само оцінювання за напрямком 2 «Система оцінювання результатів навчання учнів»</w:t>
      </w:r>
      <w:r w:rsidR="00A209B0" w:rsidRPr="00A209B0">
        <w:rPr>
          <w:rFonts w:eastAsia="Times New Roman"/>
          <w:lang w:eastAsia="uk-UA"/>
        </w:rPr>
        <w:t xml:space="preserve">, рішення педагогічної ради, протокол </w:t>
      </w:r>
      <w:r w:rsidR="00A209B0">
        <w:rPr>
          <w:rFonts w:eastAsia="Times New Roman"/>
          <w:lang w:eastAsia="uk-UA"/>
        </w:rPr>
        <w:t xml:space="preserve">  </w:t>
      </w:r>
      <w:r w:rsidR="00A209B0" w:rsidRPr="00A209B0">
        <w:rPr>
          <w:rFonts w:eastAsia="Times New Roman"/>
          <w:lang w:eastAsia="uk-UA"/>
        </w:rPr>
        <w:t xml:space="preserve">від   </w:t>
      </w:r>
      <w:r w:rsidR="00A209B0">
        <w:rPr>
          <w:rFonts w:eastAsia="Times New Roman"/>
          <w:lang w:eastAsia="uk-UA"/>
        </w:rPr>
        <w:t xml:space="preserve">12.06.2025 р.  </w:t>
      </w:r>
      <w:r w:rsidR="00A209B0" w:rsidRPr="00A209B0">
        <w:rPr>
          <w:rFonts w:eastAsia="Times New Roman"/>
          <w:lang w:eastAsia="uk-UA"/>
        </w:rPr>
        <w:t xml:space="preserve">№ </w:t>
      </w:r>
      <w:r w:rsidR="00053409">
        <w:rPr>
          <w:rFonts w:eastAsia="Times New Roman"/>
          <w:lang w:eastAsia="uk-UA"/>
        </w:rPr>
        <w:t xml:space="preserve">14 </w:t>
      </w:r>
      <w:r w:rsidR="00A209B0" w:rsidRPr="00A209B0">
        <w:rPr>
          <w:rFonts w:eastAsia="Times New Roman"/>
          <w:lang w:eastAsia="uk-UA"/>
        </w:rPr>
        <w:t xml:space="preserve"> та з метою розбудови внутрішньої системи забезпечення якості освітньої діяльності, якості освіти та якості управлінської діяльності та з метою розбудови внутрішньої системи забезпечення якості освітньої діяльності та якості освіти, постійного підвищення якості освітньої діяльності, використання системного підходу до здійснення моніторингу на всіх етапах освітнього процесу, робочою моніторинговою групою, </w:t>
      </w:r>
      <w:r w:rsidR="00A209B0">
        <w:rPr>
          <w:rFonts w:eastAsia="Times New Roman"/>
          <w:lang w:eastAsia="uk-UA"/>
        </w:rPr>
        <w:t>впродовж січня-травня 2024-</w:t>
      </w:r>
      <w:r w:rsidR="00A209B0" w:rsidRPr="00A209B0">
        <w:rPr>
          <w:rFonts w:eastAsia="Times New Roman"/>
          <w:lang w:eastAsia="uk-UA"/>
        </w:rPr>
        <w:t xml:space="preserve">2025 навчального року, </w:t>
      </w:r>
      <w:r w:rsidR="00A209B0" w:rsidRPr="00516391">
        <w:rPr>
          <w:rFonts w:eastAsia="Times New Roman"/>
          <w:lang w:eastAsia="uk-UA"/>
        </w:rPr>
        <w:t xml:space="preserve">проведене вивчення </w:t>
      </w:r>
      <w:proofErr w:type="spellStart"/>
      <w:r w:rsidR="00A209B0" w:rsidRPr="00516391">
        <w:rPr>
          <w:rFonts w:eastAsia="Times New Roman"/>
          <w:lang w:eastAsia="uk-UA"/>
        </w:rPr>
        <w:t>самооцінювання</w:t>
      </w:r>
      <w:proofErr w:type="spellEnd"/>
      <w:r w:rsidR="00A209B0" w:rsidRPr="00516391">
        <w:rPr>
          <w:rFonts w:eastAsia="Times New Roman"/>
          <w:lang w:eastAsia="uk-UA"/>
        </w:rPr>
        <w:t xml:space="preserve"> </w:t>
      </w:r>
      <w:r w:rsidR="00516391" w:rsidRPr="00516391">
        <w:rPr>
          <w:rFonts w:eastAsia="Times New Roman"/>
          <w:lang w:eastAsia="uk-UA"/>
        </w:rPr>
        <w:t xml:space="preserve">внутрішньої системи забезпечення якості освіти  у закладі за напрямком - </w:t>
      </w:r>
    </w:p>
    <w:p w:rsidR="00A209B0" w:rsidRPr="00A209B0" w:rsidRDefault="00A209B0" w:rsidP="00A209B0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A209B0">
        <w:rPr>
          <w:rFonts w:eastAsia="Times New Roman"/>
          <w:lang w:eastAsia="uk-UA"/>
        </w:rPr>
        <w:t>Система оцінювання результатів навчання учнів</w:t>
      </w:r>
    </w:p>
    <w:p w:rsidR="00A209B0" w:rsidRPr="00A209B0" w:rsidRDefault="00A209B0" w:rsidP="00A209B0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A209B0">
        <w:rPr>
          <w:rFonts w:eastAsia="Times New Roman"/>
          <w:lang w:eastAsia="uk-UA"/>
        </w:rPr>
        <w:t>- наявність системи оцінювання результатів навчання учнів, яка забезпечує справедливе, неупереджене, об’єктивне та доброчесне оцінювання</w:t>
      </w:r>
      <w:r w:rsidR="00A25FAB">
        <w:rPr>
          <w:rFonts w:eastAsia="Times New Roman"/>
          <w:lang w:eastAsia="uk-UA"/>
        </w:rPr>
        <w:t>;</w:t>
      </w:r>
    </w:p>
    <w:p w:rsidR="00A209B0" w:rsidRPr="00A209B0" w:rsidRDefault="00A209B0" w:rsidP="00A209B0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A209B0">
        <w:rPr>
          <w:rFonts w:eastAsia="Times New Roman"/>
          <w:lang w:eastAsia="uk-UA"/>
        </w:rPr>
        <w:lastRenderedPageBreak/>
        <w:t>- систематичне відстеження результатів навчання кожного учня та надання йому (за потреби) підтримки в освітньому процесі</w:t>
      </w:r>
      <w:r w:rsidR="00A25FAB">
        <w:rPr>
          <w:rFonts w:eastAsia="Times New Roman"/>
          <w:lang w:eastAsia="uk-UA"/>
        </w:rPr>
        <w:t>;</w:t>
      </w:r>
    </w:p>
    <w:p w:rsidR="00A209B0" w:rsidRPr="00A209B0" w:rsidRDefault="00A209B0" w:rsidP="00A209B0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A209B0">
        <w:rPr>
          <w:rFonts w:eastAsia="Times New Roman"/>
          <w:lang w:eastAsia="uk-UA"/>
        </w:rPr>
        <w:t xml:space="preserve">- спрямованість системи оцінювання на формування в учнів відповідальності за результати свого навчання, здатності до </w:t>
      </w:r>
      <w:r w:rsidR="00A25FAB">
        <w:rPr>
          <w:rFonts w:eastAsia="Times New Roman"/>
          <w:lang w:eastAsia="uk-UA"/>
        </w:rPr>
        <w:t>само оцінювання.</w:t>
      </w:r>
      <w:r w:rsidRPr="00A209B0">
        <w:rPr>
          <w:rFonts w:eastAsia="Times New Roman"/>
          <w:lang w:eastAsia="uk-UA"/>
        </w:rPr>
        <w:t xml:space="preserve"> </w:t>
      </w:r>
    </w:p>
    <w:p w:rsidR="00A209B0" w:rsidRPr="00A209B0" w:rsidRDefault="00A209B0" w:rsidP="00A209B0">
      <w:pPr>
        <w:shd w:val="clear" w:color="auto" w:fill="FFFFFF"/>
        <w:spacing w:line="276" w:lineRule="auto"/>
        <w:rPr>
          <w:rFonts w:eastAsia="Times New Roman"/>
          <w:lang w:eastAsia="uk-UA"/>
        </w:rPr>
      </w:pPr>
      <w:r w:rsidRPr="00A209B0">
        <w:rPr>
          <w:rFonts w:eastAsia="Times New Roman"/>
          <w:lang w:eastAsia="uk-UA"/>
        </w:rPr>
        <w:tab/>
        <w:t xml:space="preserve">Моніторинговою групою опрацьовані критерії, індикаторами для оцінювання </w:t>
      </w:r>
      <w:r w:rsidRPr="00A209B0">
        <w:t xml:space="preserve">якості освітніх і управлінських процесів та внутрішньої системи забезпечення якості освіти </w:t>
      </w:r>
      <w:r w:rsidRPr="00A209B0">
        <w:rPr>
          <w:rFonts w:eastAsia="Times New Roman"/>
          <w:lang w:eastAsia="uk-UA"/>
        </w:rPr>
        <w:t>(Додаток 1 до Порядку проведення інституційного аудиту закладів загальної середньої освіти), затвердженого наказом МОНУ від 09.01.2019  №17 (із змінами, внесеними згідно з Наказами Міністерства освіти і науки №127 від 04.02.2020, № 493 від 30.04.2021),  підготовлені інструменти для  проведення самоаналізу: опитувальний аркуш директора; опитувальний аркуш заступника директора; перелік питань для опитування учнівського самоврядування; перелік запитань для проведення анкетування серед педагогічних працівників, батьків та учнів, яким виповнилося 14 років; форма для спостереження за освітнім процесом; форма для спост</w:t>
      </w:r>
      <w:r w:rsidR="00053409">
        <w:rPr>
          <w:rFonts w:eastAsia="Times New Roman"/>
          <w:lang w:eastAsia="uk-UA"/>
        </w:rPr>
        <w:t xml:space="preserve">ереження за начальним заняттям. </w:t>
      </w:r>
      <w:r w:rsidRPr="00A209B0">
        <w:rPr>
          <w:rFonts w:eastAsia="Times New Roman"/>
          <w:lang w:eastAsia="uk-UA"/>
        </w:rPr>
        <w:t xml:space="preserve">Проаналізовано документи, відповіді  учасників освітнього процесу, </w:t>
      </w:r>
      <w:proofErr w:type="spellStart"/>
      <w:r w:rsidRPr="00A209B0">
        <w:rPr>
          <w:rFonts w:eastAsia="Times New Roman"/>
          <w:lang w:eastAsia="uk-UA"/>
        </w:rPr>
        <w:t>відвідано</w:t>
      </w:r>
      <w:proofErr w:type="spellEnd"/>
      <w:r w:rsidRPr="00A209B0">
        <w:rPr>
          <w:rFonts w:eastAsia="Times New Roman"/>
          <w:lang w:eastAsia="uk-UA"/>
        </w:rPr>
        <w:t xml:space="preserve"> уроки.  За виявленими результатами                                                                                              </w:t>
      </w:r>
    </w:p>
    <w:p w:rsidR="00E9330F" w:rsidRDefault="00E9330F" w:rsidP="00A56781">
      <w:pPr>
        <w:shd w:val="clear" w:color="auto" w:fill="FFFFFF"/>
        <w:spacing w:after="150" w:line="276" w:lineRule="auto"/>
        <w:jc w:val="left"/>
        <w:rPr>
          <w:rFonts w:eastAsia="Times New Roman"/>
          <w:b/>
          <w:bCs/>
          <w:lang w:eastAsia="uk-UA"/>
        </w:rPr>
      </w:pPr>
    </w:p>
    <w:p w:rsidR="004D227A" w:rsidRPr="00CB4B11" w:rsidRDefault="004D227A" w:rsidP="004D227A">
      <w:pPr>
        <w:shd w:val="clear" w:color="auto" w:fill="FFFFFF"/>
        <w:spacing w:after="150" w:line="300" w:lineRule="atLeast"/>
        <w:jc w:val="left"/>
        <w:rPr>
          <w:rFonts w:eastAsia="Times New Roman"/>
          <w:lang w:eastAsia="uk-UA"/>
        </w:rPr>
      </w:pPr>
      <w:r w:rsidRPr="00CB4B11">
        <w:rPr>
          <w:rFonts w:eastAsia="Times New Roman"/>
          <w:b/>
          <w:bCs/>
          <w:lang w:eastAsia="uk-UA"/>
        </w:rPr>
        <w:t>НАКАЗУЮ:</w:t>
      </w:r>
    </w:p>
    <w:p w:rsidR="004164FB" w:rsidRDefault="00441771" w:rsidP="00441771">
      <w:pPr>
        <w:pStyle w:val="ad"/>
        <w:numPr>
          <w:ilvl w:val="0"/>
          <w:numId w:val="6"/>
        </w:numPr>
        <w:spacing w:line="276" w:lineRule="auto"/>
        <w:ind w:left="0" w:firstLine="0"/>
        <w:rPr>
          <w:rFonts w:eastAsia="Times New Roman"/>
          <w:lang w:eastAsia="uk-UA"/>
        </w:rPr>
      </w:pPr>
      <w:r w:rsidRPr="004164FB">
        <w:t xml:space="preserve">Затвердити </w:t>
      </w:r>
      <w:r w:rsidR="004164FB">
        <w:t xml:space="preserve">аналітичну </w:t>
      </w:r>
      <w:r w:rsidRPr="004164FB">
        <w:t xml:space="preserve">довідку про результати </w:t>
      </w:r>
      <w:proofErr w:type="spellStart"/>
      <w:r w:rsidRPr="004164FB">
        <w:t>самооцінювання</w:t>
      </w:r>
      <w:proofErr w:type="spellEnd"/>
      <w:r w:rsidRPr="004164FB">
        <w:t xml:space="preserve"> за напрямом</w:t>
      </w:r>
      <w:r w:rsidR="004164FB" w:rsidRPr="004164FB">
        <w:rPr>
          <w:rFonts w:eastAsia="Times New Roman"/>
          <w:lang w:eastAsia="uk-UA"/>
        </w:rPr>
        <w:t xml:space="preserve"> </w:t>
      </w:r>
      <w:r w:rsidR="004164FB">
        <w:rPr>
          <w:rFonts w:eastAsia="Times New Roman"/>
          <w:lang w:eastAsia="uk-UA"/>
        </w:rPr>
        <w:t xml:space="preserve">2 </w:t>
      </w:r>
      <w:r w:rsidR="004164FB" w:rsidRPr="00A209B0">
        <w:rPr>
          <w:rFonts w:eastAsia="Times New Roman"/>
          <w:lang w:eastAsia="uk-UA"/>
        </w:rPr>
        <w:t>Система оцінювання результатів навчання учнів</w:t>
      </w:r>
      <w:r w:rsidR="004164FB">
        <w:rPr>
          <w:rFonts w:eastAsia="Times New Roman"/>
          <w:lang w:eastAsia="uk-UA"/>
        </w:rPr>
        <w:t>.</w:t>
      </w:r>
    </w:p>
    <w:p w:rsidR="00441771" w:rsidRPr="00EF0A73" w:rsidRDefault="00441771" w:rsidP="00441771">
      <w:pPr>
        <w:pStyle w:val="ad"/>
        <w:numPr>
          <w:ilvl w:val="0"/>
          <w:numId w:val="6"/>
        </w:numPr>
        <w:spacing w:line="276" w:lineRule="auto"/>
        <w:ind w:left="0" w:firstLine="0"/>
        <w:rPr>
          <w:rFonts w:eastAsia="Times New Roman"/>
          <w:lang w:eastAsia="uk-UA"/>
        </w:rPr>
      </w:pPr>
      <w:r w:rsidRPr="004164FB">
        <w:t xml:space="preserve"> </w:t>
      </w:r>
      <w:r w:rsidR="004164FB">
        <w:t>В</w:t>
      </w:r>
      <w:r w:rsidRPr="00441771">
        <w:rPr>
          <w:rFonts w:eastAsia="Times New Roman"/>
          <w:lang w:eastAsia="uk-UA"/>
        </w:rPr>
        <w:t>изнати рівень освітньої діяльності за</w:t>
      </w:r>
      <w:r w:rsidRPr="00441771">
        <w:rPr>
          <w:rFonts w:ascii="Calibri" w:hAnsi="Calibri"/>
          <w:sz w:val="22"/>
          <w:szCs w:val="22"/>
        </w:rPr>
        <w:t xml:space="preserve"> </w:t>
      </w:r>
      <w:r w:rsidRPr="00441771">
        <w:rPr>
          <w:rFonts w:eastAsia="Times New Roman"/>
          <w:lang w:eastAsia="uk-UA"/>
        </w:rPr>
        <w:t xml:space="preserve">результатами </w:t>
      </w:r>
      <w:proofErr w:type="spellStart"/>
      <w:r w:rsidRPr="00441771">
        <w:rPr>
          <w:rFonts w:eastAsia="Times New Roman"/>
          <w:lang w:eastAsia="uk-UA"/>
        </w:rPr>
        <w:t>самооцінювання</w:t>
      </w:r>
      <w:proofErr w:type="spellEnd"/>
      <w:r w:rsidRPr="00441771">
        <w:rPr>
          <w:rFonts w:eastAsia="Times New Roman"/>
          <w:lang w:eastAsia="uk-UA"/>
        </w:rPr>
        <w:t xml:space="preserve"> </w:t>
      </w:r>
      <w:r w:rsidR="004164FB" w:rsidRPr="004164FB">
        <w:t>за напрямом</w:t>
      </w:r>
      <w:r w:rsidR="004164FB" w:rsidRPr="004164FB">
        <w:rPr>
          <w:rFonts w:eastAsia="Times New Roman"/>
          <w:lang w:eastAsia="uk-UA"/>
        </w:rPr>
        <w:t xml:space="preserve"> </w:t>
      </w:r>
      <w:r w:rsidR="004164FB">
        <w:rPr>
          <w:rFonts w:eastAsia="Times New Roman"/>
          <w:lang w:eastAsia="uk-UA"/>
        </w:rPr>
        <w:t xml:space="preserve">2 </w:t>
      </w:r>
      <w:r w:rsidR="004164FB" w:rsidRPr="00A209B0">
        <w:rPr>
          <w:rFonts w:eastAsia="Times New Roman"/>
          <w:lang w:eastAsia="uk-UA"/>
        </w:rPr>
        <w:t>Система оцінювання результатів навчання учнів</w:t>
      </w:r>
      <w:r w:rsidR="004164FB" w:rsidRPr="00441771">
        <w:rPr>
          <w:rFonts w:eastAsia="Times New Roman"/>
          <w:lang w:eastAsia="uk-UA"/>
        </w:rPr>
        <w:t xml:space="preserve"> </w:t>
      </w:r>
      <w:r w:rsidRPr="00441771">
        <w:rPr>
          <w:rFonts w:eastAsia="Times New Roman"/>
          <w:lang w:eastAsia="uk-UA"/>
        </w:rPr>
        <w:t xml:space="preserve">та внутрішньої системи </w:t>
      </w:r>
      <w:r w:rsidRPr="00EF0A73">
        <w:rPr>
          <w:rFonts w:eastAsia="Times New Roman"/>
          <w:lang w:eastAsia="uk-UA"/>
        </w:rPr>
        <w:t>забезпечення якості освіти у закладі як достатній.</w:t>
      </w:r>
    </w:p>
    <w:p w:rsidR="00441771" w:rsidRPr="00441771" w:rsidRDefault="00EF0A73" w:rsidP="00441771">
      <w:pPr>
        <w:spacing w:line="276" w:lineRule="auto"/>
        <w:rPr>
          <w:rFonts w:eastAsia="Times New Roman"/>
          <w:lang w:eastAsia="uk-UA"/>
        </w:rPr>
      </w:pPr>
      <w:r w:rsidRPr="00EF0A73">
        <w:rPr>
          <w:rFonts w:eastAsia="Times New Roman"/>
          <w:b/>
          <w:lang w:eastAsia="uk-UA"/>
        </w:rPr>
        <w:t>3</w:t>
      </w:r>
      <w:r w:rsidR="00441771" w:rsidRPr="00EF0A73">
        <w:rPr>
          <w:rFonts w:eastAsia="Times New Roman"/>
          <w:b/>
          <w:lang w:eastAsia="uk-UA"/>
        </w:rPr>
        <w:t>.</w:t>
      </w:r>
      <w:r w:rsidR="00441771" w:rsidRPr="00441771">
        <w:rPr>
          <w:rFonts w:eastAsia="Times New Roman"/>
          <w:lang w:eastAsia="uk-UA"/>
        </w:rPr>
        <w:t xml:space="preserve"> Колективу закладу: </w:t>
      </w:r>
    </w:p>
    <w:p w:rsidR="00441771" w:rsidRPr="00441771" w:rsidRDefault="00EF0A73" w:rsidP="00441771">
      <w:pPr>
        <w:spacing w:line="276" w:lineRule="auto"/>
      </w:pPr>
      <w:r w:rsidRPr="00EF0A73">
        <w:rPr>
          <w:b/>
        </w:rPr>
        <w:t>3</w:t>
      </w:r>
      <w:r w:rsidR="00441771" w:rsidRPr="00EF0A73">
        <w:rPr>
          <w:b/>
        </w:rPr>
        <w:t>.1.</w:t>
      </w:r>
      <w:r w:rsidR="00441771" w:rsidRPr="00441771">
        <w:t xml:space="preserve"> Забезпечити </w:t>
      </w:r>
      <w:r w:rsidR="00A25FAB">
        <w:t xml:space="preserve">наявність відкритої, прозорої  та </w:t>
      </w:r>
      <w:r w:rsidR="00441771" w:rsidRPr="00441771">
        <w:t>зрозумілої для учнів системи оцінювання їх навчальних досягнень, використовуючи систему оцінювання, критерії, інструменти  оцінювання, спрямовані на моніторинг (динаміку) навчальних досягнень кожного учня та формування  в учнів відповідальності за результати свого навчання, здатності до самооцінки.</w:t>
      </w:r>
    </w:p>
    <w:p w:rsidR="00441771" w:rsidRPr="00441771" w:rsidRDefault="00441771" w:rsidP="00441771">
      <w:pPr>
        <w:spacing w:line="276" w:lineRule="auto"/>
      </w:pPr>
      <w:r w:rsidRPr="00441771">
        <w:t xml:space="preserve">                                                                                               </w:t>
      </w:r>
      <w:r w:rsidR="00EF0A73">
        <w:t xml:space="preserve">                           </w:t>
      </w:r>
      <w:r w:rsidRPr="00441771">
        <w:t>Постійно</w:t>
      </w:r>
      <w:r w:rsidR="00EF0A73">
        <w:t>.</w:t>
      </w:r>
    </w:p>
    <w:p w:rsidR="00441771" w:rsidRPr="00441771" w:rsidRDefault="00EF0A73" w:rsidP="00441771">
      <w:pPr>
        <w:spacing w:line="276" w:lineRule="auto"/>
      </w:pPr>
      <w:r w:rsidRPr="00EF0A73">
        <w:rPr>
          <w:b/>
        </w:rPr>
        <w:t>3.2.</w:t>
      </w:r>
      <w:r w:rsidR="00441771" w:rsidRPr="00441771">
        <w:t xml:space="preserve"> Розвив</w:t>
      </w:r>
      <w:r w:rsidR="00D92947">
        <w:t>ати систему освітніх вимірювань-</w:t>
      </w:r>
      <w:r w:rsidR="00441771" w:rsidRPr="00441771">
        <w:t>оцінювань, реалізовувати програму надолуж</w:t>
      </w:r>
      <w:r w:rsidR="00D92947">
        <w:t>ення освітніх втрат та розривів.</w:t>
      </w:r>
    </w:p>
    <w:p w:rsidR="00441771" w:rsidRPr="00441771" w:rsidRDefault="00441771" w:rsidP="00441771">
      <w:pPr>
        <w:spacing w:line="276" w:lineRule="auto"/>
      </w:pPr>
      <w:r w:rsidRPr="00441771">
        <w:t xml:space="preserve">                                                                                               </w:t>
      </w:r>
      <w:r w:rsidR="00EF0A73">
        <w:t xml:space="preserve">                          </w:t>
      </w:r>
      <w:r w:rsidRPr="00441771">
        <w:t xml:space="preserve"> Постійно</w:t>
      </w:r>
      <w:r w:rsidR="00EF0A73">
        <w:t>.</w:t>
      </w:r>
    </w:p>
    <w:p w:rsidR="00441771" w:rsidRPr="00441771" w:rsidRDefault="00EF0A73" w:rsidP="00441771">
      <w:pPr>
        <w:spacing w:line="276" w:lineRule="auto"/>
      </w:pPr>
      <w:r w:rsidRPr="00EF0A73">
        <w:rPr>
          <w:b/>
        </w:rPr>
        <w:t>3.3.</w:t>
      </w:r>
      <w:r>
        <w:t xml:space="preserve"> </w:t>
      </w:r>
      <w:r w:rsidR="00441771" w:rsidRPr="00441771">
        <w:t>Створювати діагностичні інструменти як складові дидактичного забезпечення освітнього процесу, передбачивши в начальній  програмі інструменти для оцінювання результатів навчання, передбачених Державними стандартами загальної середньої освіти.</w:t>
      </w:r>
    </w:p>
    <w:p w:rsidR="00441771" w:rsidRPr="00441771" w:rsidRDefault="00441771" w:rsidP="00441771">
      <w:pPr>
        <w:spacing w:line="276" w:lineRule="auto"/>
      </w:pPr>
      <w:r w:rsidRPr="00441771">
        <w:t xml:space="preserve">                                                            </w:t>
      </w:r>
      <w:r w:rsidR="00EF0A73">
        <w:t xml:space="preserve">                                                            </w:t>
      </w:r>
      <w:r w:rsidRPr="00441771">
        <w:t xml:space="preserve">  Постійно</w:t>
      </w:r>
      <w:r w:rsidR="00EF0A73">
        <w:t>.</w:t>
      </w:r>
    </w:p>
    <w:p w:rsidR="00441771" w:rsidRPr="00441771" w:rsidRDefault="00D92947" w:rsidP="00441771">
      <w:pPr>
        <w:spacing w:line="276" w:lineRule="auto"/>
      </w:pPr>
      <w:r w:rsidRPr="00D92947">
        <w:rPr>
          <w:b/>
        </w:rPr>
        <w:t>3.4</w:t>
      </w:r>
      <w:r w:rsidR="00441771" w:rsidRPr="00D92947">
        <w:rPr>
          <w:b/>
        </w:rPr>
        <w:t>.</w:t>
      </w:r>
      <w:r w:rsidR="00441771" w:rsidRPr="00441771">
        <w:t xml:space="preserve"> Здійснювати ефективне планування та прогнозування педагогічними працівниками своєї діяльності, використання сучасних освітніх технологій, форм організації освітнього процесу та підходів до оцінювання навчальних досягнень </w:t>
      </w:r>
      <w:r w:rsidR="00441771" w:rsidRPr="00441771">
        <w:lastRenderedPageBreak/>
        <w:t xml:space="preserve">із метою формування ключових </w:t>
      </w:r>
      <w:proofErr w:type="spellStart"/>
      <w:r w:rsidR="00441771" w:rsidRPr="00441771">
        <w:t>компетентностей</w:t>
      </w:r>
      <w:proofErr w:type="spellEnd"/>
      <w:r w:rsidR="00441771" w:rsidRPr="00441771">
        <w:t xml:space="preserve"> і наскрізних умінь здобувачів освіти.</w:t>
      </w:r>
    </w:p>
    <w:p w:rsidR="00441771" w:rsidRPr="00441771" w:rsidRDefault="00441771" w:rsidP="00441771">
      <w:pPr>
        <w:spacing w:line="276" w:lineRule="auto"/>
      </w:pPr>
      <w:r w:rsidRPr="00441771">
        <w:t xml:space="preserve">                                                                                               </w:t>
      </w:r>
      <w:r w:rsidR="00D92947">
        <w:t xml:space="preserve">                           </w:t>
      </w:r>
      <w:r w:rsidRPr="00441771">
        <w:t>Постійно</w:t>
      </w:r>
      <w:r w:rsidR="00D92947">
        <w:t>.</w:t>
      </w:r>
    </w:p>
    <w:p w:rsidR="00441771" w:rsidRPr="00441771" w:rsidRDefault="00D92947" w:rsidP="00441771">
      <w:pPr>
        <w:spacing w:line="276" w:lineRule="auto"/>
      </w:pPr>
      <w:r w:rsidRPr="00D92947">
        <w:rPr>
          <w:b/>
        </w:rPr>
        <w:t>3.5</w:t>
      </w:r>
      <w:r w:rsidR="00441771" w:rsidRPr="00D92947">
        <w:rPr>
          <w:b/>
        </w:rPr>
        <w:t>.</w:t>
      </w:r>
      <w:r w:rsidR="00441771" w:rsidRPr="00441771">
        <w:t xml:space="preserve"> Підвищувати рівень професійної компетентності та майстерності, налагоджувати партнерські взаємовідносини із учнями, їх батьками та іншими законними представниками, працівниками закладу освіти.</w:t>
      </w:r>
    </w:p>
    <w:p w:rsidR="00441771" w:rsidRPr="00441771" w:rsidRDefault="00441771" w:rsidP="00441771">
      <w:pPr>
        <w:spacing w:line="276" w:lineRule="auto"/>
      </w:pPr>
      <w:r w:rsidRPr="00441771">
        <w:t xml:space="preserve">                                                                                             </w:t>
      </w:r>
      <w:r w:rsidR="00D92947">
        <w:t xml:space="preserve">                             </w:t>
      </w:r>
      <w:r w:rsidRPr="00441771">
        <w:t>Постійно</w:t>
      </w:r>
      <w:r w:rsidR="00D92947">
        <w:t>.</w:t>
      </w:r>
    </w:p>
    <w:p w:rsidR="00441771" w:rsidRPr="00441771" w:rsidRDefault="00D92947" w:rsidP="00441771">
      <w:pPr>
        <w:spacing w:line="276" w:lineRule="auto"/>
      </w:pPr>
      <w:r w:rsidRPr="00D92947">
        <w:rPr>
          <w:b/>
        </w:rPr>
        <w:t>3.6</w:t>
      </w:r>
      <w:r w:rsidR="00441771" w:rsidRPr="00D92947">
        <w:rPr>
          <w:b/>
        </w:rPr>
        <w:t>.</w:t>
      </w:r>
      <w:r w:rsidR="00441771" w:rsidRPr="00441771">
        <w:t xml:space="preserve"> Організовувати педагогічну діяльність та навчання учнів на засадах академічної доброчесності.</w:t>
      </w:r>
    </w:p>
    <w:p w:rsidR="00441771" w:rsidRPr="00441771" w:rsidRDefault="00441771" w:rsidP="00441771">
      <w:pPr>
        <w:spacing w:line="276" w:lineRule="auto"/>
      </w:pPr>
      <w:r w:rsidRPr="00441771">
        <w:t xml:space="preserve">                                                                                              </w:t>
      </w:r>
      <w:r w:rsidR="00A25FAB">
        <w:t xml:space="preserve">                   </w:t>
      </w:r>
      <w:r w:rsidRPr="00441771">
        <w:t xml:space="preserve"> Постійно</w:t>
      </w:r>
      <w:r w:rsidR="00A25FAB">
        <w:t>.</w:t>
      </w:r>
    </w:p>
    <w:p w:rsidR="00345ACE" w:rsidRPr="00345ACE" w:rsidRDefault="00D92947" w:rsidP="00441771">
      <w:pPr>
        <w:shd w:val="clear" w:color="auto" w:fill="FFFFFF"/>
        <w:spacing w:line="276" w:lineRule="auto"/>
        <w:rPr>
          <w:rFonts w:eastAsia="Times New Roman"/>
          <w:lang w:eastAsia="uk-UA"/>
        </w:rPr>
      </w:pPr>
      <w:r>
        <w:rPr>
          <w:rFonts w:eastAsia="Times New Roman"/>
          <w:b/>
          <w:lang w:eastAsia="uk-UA"/>
        </w:rPr>
        <w:t>4</w:t>
      </w:r>
      <w:r w:rsidR="00345ACE" w:rsidRPr="00345ACE">
        <w:rPr>
          <w:rFonts w:eastAsia="Times New Roman"/>
          <w:b/>
          <w:lang w:eastAsia="uk-UA"/>
        </w:rPr>
        <w:t>.</w:t>
      </w:r>
      <w:r w:rsidR="00345ACE" w:rsidRPr="00345ACE">
        <w:rPr>
          <w:rFonts w:eastAsia="Times New Roman"/>
          <w:lang w:eastAsia="uk-UA"/>
        </w:rPr>
        <w:t xml:space="preserve"> Контроль за виконанням наказу залишаю за собою.</w:t>
      </w:r>
    </w:p>
    <w:p w:rsidR="00F15A54" w:rsidRDefault="00FC620F" w:rsidP="00441771">
      <w:pPr>
        <w:shd w:val="clear" w:color="auto" w:fill="FFFFFF"/>
        <w:spacing w:before="100" w:beforeAutospacing="1" w:after="100" w:afterAutospacing="1" w:line="276" w:lineRule="auto"/>
        <w:jc w:val="left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                 </w:t>
      </w:r>
    </w:p>
    <w:p w:rsidR="00345ACE" w:rsidRDefault="00345ACE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4C44A7" w:rsidRDefault="00345ACE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eastAsia="uk-UA"/>
        </w:rPr>
        <w:t>Директор</w:t>
      </w:r>
      <w:r w:rsidR="00FC620F" w:rsidRPr="00F15A54">
        <w:rPr>
          <w:rFonts w:eastAsia="Times New Roman"/>
          <w:b/>
          <w:lang w:eastAsia="uk-UA"/>
        </w:rPr>
        <w:t xml:space="preserve">                         Марія Г</w:t>
      </w:r>
      <w:r w:rsidR="00F15A54" w:rsidRPr="00F15A54">
        <w:rPr>
          <w:rFonts w:eastAsia="Times New Roman"/>
          <w:b/>
          <w:lang w:eastAsia="uk-UA"/>
        </w:rPr>
        <w:t>НАТКОВСЬКА</w:t>
      </w:r>
    </w:p>
    <w:p w:rsidR="00F15A54" w:rsidRDefault="00F15A54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F15A54" w:rsidRDefault="00F15A54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F15A54" w:rsidRDefault="00F15A54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F15A54" w:rsidRDefault="00F15A54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F15A54" w:rsidRDefault="00F15A54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345ACE" w:rsidRDefault="00F15A54" w:rsidP="00F15A54">
      <w:pPr>
        <w:spacing w:line="276" w:lineRule="auto"/>
      </w:pPr>
      <w:r w:rsidRPr="00F15A54">
        <w:t xml:space="preserve">     </w:t>
      </w: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345ACE" w:rsidRDefault="00345ACE" w:rsidP="00F15A54">
      <w:pPr>
        <w:spacing w:line="276" w:lineRule="auto"/>
      </w:pPr>
    </w:p>
    <w:p w:rsidR="00D92947" w:rsidRDefault="00D92947" w:rsidP="00F15A54">
      <w:pPr>
        <w:spacing w:line="276" w:lineRule="auto"/>
      </w:pPr>
    </w:p>
    <w:p w:rsidR="00F15A54" w:rsidRPr="009C3D27" w:rsidRDefault="009C3D27" w:rsidP="00D92947">
      <w:pPr>
        <w:shd w:val="clear" w:color="auto" w:fill="FFFFFF"/>
        <w:spacing w:line="276" w:lineRule="auto"/>
        <w:rPr>
          <w:rFonts w:eastAsia="Times New Roman"/>
          <w:b/>
          <w:lang w:eastAsia="uk-UA"/>
        </w:rPr>
      </w:pPr>
      <w:r>
        <w:t xml:space="preserve">    </w:t>
      </w:r>
      <w:r w:rsidR="00F15A54" w:rsidRPr="00F15A54">
        <w:t>Із наказом</w:t>
      </w:r>
      <w:r w:rsidR="00D92947">
        <w:t xml:space="preserve"> від 12.06</w:t>
      </w:r>
      <w:r w:rsidR="00A25FAB">
        <w:t>.2025</w:t>
      </w:r>
      <w:r w:rsidR="00345ACE">
        <w:t xml:space="preserve"> р. </w:t>
      </w:r>
      <w:r w:rsidR="00F15A54" w:rsidRPr="00F15A54">
        <w:t xml:space="preserve"> </w:t>
      </w:r>
      <w:r w:rsidR="00A25FAB">
        <w:t xml:space="preserve">№    </w:t>
      </w:r>
      <w:r>
        <w:t xml:space="preserve"> «</w:t>
      </w:r>
      <w:r w:rsidRPr="009C3D27">
        <w:rPr>
          <w:rFonts w:eastAsia="Times New Roman"/>
          <w:lang w:eastAsia="uk-UA"/>
        </w:rPr>
        <w:t xml:space="preserve">Про </w:t>
      </w:r>
      <w:r w:rsidR="00D92947" w:rsidRPr="00D92947">
        <w:rPr>
          <w:rFonts w:eastAsia="Times New Roman"/>
          <w:lang w:eastAsia="uk-UA"/>
        </w:rPr>
        <w:t>узагальнення результатів</w:t>
      </w:r>
      <w:r w:rsidR="00D92947">
        <w:rPr>
          <w:rFonts w:eastAsia="Times New Roman"/>
          <w:b/>
          <w:lang w:eastAsia="uk-UA"/>
        </w:rPr>
        <w:t xml:space="preserve"> </w:t>
      </w:r>
      <w:proofErr w:type="spellStart"/>
      <w:r w:rsidR="00D92947" w:rsidRPr="00D92947">
        <w:rPr>
          <w:rFonts w:eastAsia="Times New Roman"/>
          <w:lang w:eastAsia="uk-UA"/>
        </w:rPr>
        <w:t>самооцінювання</w:t>
      </w:r>
      <w:proofErr w:type="spellEnd"/>
      <w:r w:rsidR="00D92947" w:rsidRPr="00D92947">
        <w:rPr>
          <w:rFonts w:eastAsia="Times New Roman"/>
          <w:lang w:eastAsia="uk-UA"/>
        </w:rPr>
        <w:t xml:space="preserve"> з розбудови</w:t>
      </w:r>
      <w:r w:rsidR="00D92947">
        <w:rPr>
          <w:rFonts w:eastAsia="Times New Roman"/>
          <w:b/>
          <w:lang w:eastAsia="uk-UA"/>
        </w:rPr>
        <w:t xml:space="preserve"> </w:t>
      </w:r>
      <w:r w:rsidR="00D92947" w:rsidRPr="00D92947">
        <w:rPr>
          <w:rFonts w:eastAsia="Times New Roman"/>
          <w:lang w:eastAsia="uk-UA"/>
        </w:rPr>
        <w:t>внутрішньої системи якості освіти</w:t>
      </w:r>
      <w:r w:rsidR="00D92947">
        <w:rPr>
          <w:rFonts w:eastAsia="Times New Roman"/>
          <w:b/>
          <w:lang w:eastAsia="uk-UA"/>
        </w:rPr>
        <w:t xml:space="preserve"> </w:t>
      </w:r>
      <w:r w:rsidRPr="009C3D27">
        <w:rPr>
          <w:rFonts w:eastAsia="Times New Roman"/>
          <w:lang w:eastAsia="uk-UA"/>
        </w:rPr>
        <w:t>за напрямком 2 «Система оцінювання результатів навчання учнів</w:t>
      </w:r>
      <w:r>
        <w:rPr>
          <w:rFonts w:eastAsia="Times New Roman"/>
          <w:b/>
        </w:rPr>
        <w:t>»</w:t>
      </w:r>
      <w:r>
        <w:rPr>
          <w:rFonts w:eastAsia="Times New Roman"/>
          <w:b/>
          <w:lang w:eastAsia="uk-UA"/>
        </w:rPr>
        <w:t xml:space="preserve">  </w:t>
      </w:r>
      <w:r w:rsidR="00F15A54" w:rsidRPr="00F15A54">
        <w:t>ознайомлені:</w:t>
      </w:r>
    </w:p>
    <w:p w:rsidR="00F15A54" w:rsidRPr="00F15A54" w:rsidRDefault="00F15A54" w:rsidP="00D92947">
      <w:pPr>
        <w:spacing w:line="276" w:lineRule="auto"/>
      </w:pPr>
    </w:p>
    <w:p w:rsidR="00F15A54" w:rsidRPr="00F15A54" w:rsidRDefault="00F15A54" w:rsidP="00F15A54"/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559"/>
        <w:gridCol w:w="1276"/>
        <w:gridCol w:w="3118"/>
      </w:tblGrid>
      <w:tr w:rsidR="00F15A54" w:rsidRPr="00F15A54" w:rsidTr="00881622">
        <w:tc>
          <w:tcPr>
            <w:tcW w:w="1559" w:type="dxa"/>
            <w:tcBorders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</w:tcPr>
          <w:p w:rsidR="00F15A54" w:rsidRPr="00F15A54" w:rsidRDefault="009C3D27" w:rsidP="00F15A54">
            <w:pPr>
              <w:jc w:val="left"/>
            </w:pPr>
            <w:proofErr w:type="spellStart"/>
            <w:r>
              <w:t>Вороб</w:t>
            </w:r>
            <w:proofErr w:type="spellEnd"/>
            <w:r>
              <w:rPr>
                <w:lang w:val="en-US"/>
              </w:rPr>
              <w:t>’</w:t>
            </w:r>
            <w:r>
              <w:t>як В.В.</w:t>
            </w:r>
          </w:p>
        </w:tc>
      </w:tr>
      <w:tr w:rsidR="00F15A54" w:rsidRPr="00F15A54" w:rsidTr="00881622">
        <w:tc>
          <w:tcPr>
            <w:tcW w:w="1559" w:type="dxa"/>
            <w:tcBorders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</w:tcPr>
          <w:p w:rsidR="00F15A54" w:rsidRDefault="009C3D27" w:rsidP="00F15A54">
            <w:pPr>
              <w:jc w:val="left"/>
            </w:pPr>
            <w:proofErr w:type="spellStart"/>
            <w:r w:rsidRPr="00F15A54">
              <w:t>Гадяк</w:t>
            </w:r>
            <w:proofErr w:type="spellEnd"/>
            <w:r w:rsidRPr="00F15A54">
              <w:t xml:space="preserve"> Ю.І.</w:t>
            </w:r>
          </w:p>
        </w:tc>
      </w:tr>
      <w:tr w:rsidR="00F15A54" w:rsidRPr="00F15A54" w:rsidTr="00881622">
        <w:tc>
          <w:tcPr>
            <w:tcW w:w="1559" w:type="dxa"/>
            <w:tcBorders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</w:tcPr>
          <w:p w:rsidR="00F15A54" w:rsidRPr="00F15A54" w:rsidRDefault="009C3D27" w:rsidP="00F15A54">
            <w:pPr>
              <w:jc w:val="left"/>
            </w:pPr>
            <w:proofErr w:type="spellStart"/>
            <w:r w:rsidRPr="00F15A54">
              <w:t>Галяс</w:t>
            </w:r>
            <w:proofErr w:type="spellEnd"/>
            <w:r w:rsidRPr="00F15A54">
              <w:t xml:space="preserve"> О.І.</w:t>
            </w:r>
          </w:p>
        </w:tc>
      </w:tr>
      <w:tr w:rsidR="00F15A54" w:rsidRPr="00F15A54" w:rsidTr="00881622">
        <w:tc>
          <w:tcPr>
            <w:tcW w:w="1559" w:type="dxa"/>
            <w:tcBorders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</w:tcPr>
          <w:p w:rsidR="00F15A54" w:rsidRPr="00F15A54" w:rsidRDefault="009C3D27" w:rsidP="00D92947">
            <w:pPr>
              <w:jc w:val="left"/>
            </w:pPr>
            <w:proofErr w:type="spellStart"/>
            <w:r w:rsidRPr="00F15A54">
              <w:t>Дольний</w:t>
            </w:r>
            <w:proofErr w:type="spellEnd"/>
            <w:r w:rsidRPr="00F15A54">
              <w:t xml:space="preserve"> Я.Д.</w:t>
            </w:r>
          </w:p>
        </w:tc>
      </w:tr>
      <w:tr w:rsidR="00F15A54" w:rsidRPr="00F15A54" w:rsidTr="00881622">
        <w:tc>
          <w:tcPr>
            <w:tcW w:w="1559" w:type="dxa"/>
            <w:tcBorders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</w:tcPr>
          <w:p w:rsidR="00F15A54" w:rsidRPr="00F15A54" w:rsidRDefault="009C3D27" w:rsidP="00F15A54">
            <w:pPr>
              <w:jc w:val="left"/>
            </w:pPr>
            <w:proofErr w:type="spellStart"/>
            <w:r w:rsidRPr="00F15A54">
              <w:t>Капустинська</w:t>
            </w:r>
            <w:proofErr w:type="spellEnd"/>
            <w:r w:rsidRPr="00F15A54">
              <w:t xml:space="preserve"> І.С.</w:t>
            </w:r>
          </w:p>
        </w:tc>
      </w:tr>
      <w:tr w:rsidR="00F15A54" w:rsidRPr="00F15A54" w:rsidTr="00881622">
        <w:tc>
          <w:tcPr>
            <w:tcW w:w="1559" w:type="dxa"/>
            <w:tcBorders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</w:tcPr>
          <w:p w:rsidR="00F15A54" w:rsidRPr="00F15A54" w:rsidRDefault="009C3D27" w:rsidP="00F15A54">
            <w:pPr>
              <w:jc w:val="left"/>
            </w:pPr>
            <w:r w:rsidRPr="00F15A54">
              <w:t>Кіт М.М.</w:t>
            </w:r>
          </w:p>
        </w:tc>
      </w:tr>
      <w:tr w:rsidR="00F15A54" w:rsidRPr="00F15A54" w:rsidTr="00881622">
        <w:tc>
          <w:tcPr>
            <w:tcW w:w="1559" w:type="dxa"/>
            <w:tcBorders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</w:tcPr>
          <w:p w:rsidR="00F15A54" w:rsidRPr="00F15A54" w:rsidRDefault="009C3D27" w:rsidP="00F15A54">
            <w:pPr>
              <w:jc w:val="left"/>
            </w:pPr>
            <w:r w:rsidRPr="00F15A54">
              <w:t>Кулак В.І.</w:t>
            </w:r>
          </w:p>
        </w:tc>
      </w:tr>
      <w:tr w:rsidR="00F15A54" w:rsidRPr="00F15A54" w:rsidTr="00881622">
        <w:tc>
          <w:tcPr>
            <w:tcW w:w="1559" w:type="dxa"/>
            <w:tcBorders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</w:tcPr>
          <w:p w:rsidR="00F15A54" w:rsidRPr="00F15A54" w:rsidRDefault="009C3D27" w:rsidP="00F15A54">
            <w:pPr>
              <w:jc w:val="left"/>
            </w:pPr>
            <w:r>
              <w:t>Павлик М.П.</w:t>
            </w:r>
          </w:p>
        </w:tc>
      </w:tr>
      <w:tr w:rsidR="00F15A54" w:rsidRPr="00F15A54" w:rsidTr="00881622">
        <w:tc>
          <w:tcPr>
            <w:tcW w:w="1559" w:type="dxa"/>
            <w:tcBorders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</w:tcPr>
          <w:p w:rsidR="00F15A54" w:rsidRPr="00F15A54" w:rsidRDefault="009C3D27" w:rsidP="00F15A54">
            <w:pPr>
              <w:jc w:val="left"/>
            </w:pPr>
            <w:r w:rsidRPr="00F15A54">
              <w:t>Русин Т.М.</w:t>
            </w:r>
          </w:p>
        </w:tc>
      </w:tr>
      <w:tr w:rsidR="00F15A54" w:rsidRPr="00F15A54" w:rsidTr="0088162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</w:pPr>
            <w:r w:rsidRPr="00F15A54">
              <w:t>Столярська Г.М.</w:t>
            </w:r>
          </w:p>
        </w:tc>
      </w:tr>
      <w:tr w:rsidR="00F15A54" w:rsidRPr="00F15A54" w:rsidTr="0088162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</w:pPr>
            <w:proofErr w:type="spellStart"/>
            <w:r w:rsidRPr="00F15A54">
              <w:t>Сичак</w:t>
            </w:r>
            <w:proofErr w:type="spellEnd"/>
            <w:r w:rsidRPr="00F15A54">
              <w:t xml:space="preserve"> О.І.</w:t>
            </w:r>
          </w:p>
        </w:tc>
      </w:tr>
      <w:tr w:rsidR="00F15A54" w:rsidRPr="00F15A54" w:rsidTr="0088162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</w:pPr>
            <w:proofErr w:type="spellStart"/>
            <w:r w:rsidRPr="00F15A54">
              <w:t>Сичак</w:t>
            </w:r>
            <w:proofErr w:type="spellEnd"/>
            <w:r w:rsidRPr="00F15A54">
              <w:t xml:space="preserve"> А.В.</w:t>
            </w:r>
          </w:p>
        </w:tc>
      </w:tr>
      <w:tr w:rsidR="00F15A54" w:rsidRPr="00F15A54" w:rsidTr="0088162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</w:pPr>
            <w:proofErr w:type="spellStart"/>
            <w:r w:rsidRPr="00F15A54">
              <w:t>Чмелик</w:t>
            </w:r>
            <w:proofErr w:type="spellEnd"/>
            <w:r w:rsidRPr="00F15A54">
              <w:t xml:space="preserve"> Н.І.</w:t>
            </w:r>
          </w:p>
        </w:tc>
      </w:tr>
      <w:tr w:rsidR="00F15A54" w:rsidRPr="00F15A54" w:rsidTr="0088162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</w:pPr>
            <w:proofErr w:type="spellStart"/>
            <w:r w:rsidRPr="00F15A54">
              <w:t>Хоп</w:t>
            </w:r>
            <w:proofErr w:type="spellEnd"/>
            <w:r w:rsidRPr="00F15A54">
              <w:rPr>
                <w:lang w:val="en-US"/>
              </w:rPr>
              <w:t>’</w:t>
            </w:r>
            <w:r w:rsidRPr="00F15A54">
              <w:t>як Л.М.</w:t>
            </w:r>
          </w:p>
        </w:tc>
      </w:tr>
      <w:tr w:rsidR="00F15A54" w:rsidRPr="00F15A54" w:rsidTr="0088162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</w:pPr>
            <w:r w:rsidRPr="00F15A54">
              <w:t>Щурко В.В.</w:t>
            </w:r>
          </w:p>
        </w:tc>
      </w:tr>
      <w:tr w:rsidR="00F15A54" w:rsidRPr="00F15A54" w:rsidTr="00881622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A54" w:rsidRPr="00F15A54" w:rsidRDefault="00F15A54" w:rsidP="00F15A54">
            <w:pPr>
              <w:jc w:val="left"/>
            </w:pPr>
            <w:r w:rsidRPr="00F15A54">
              <w:t>Яворів Л.В.</w:t>
            </w:r>
          </w:p>
        </w:tc>
      </w:tr>
    </w:tbl>
    <w:p w:rsidR="00F15A54" w:rsidRPr="00F15A54" w:rsidRDefault="00F15A54" w:rsidP="00F15A54">
      <w:pPr>
        <w:jc w:val="center"/>
        <w:rPr>
          <w:b/>
        </w:rPr>
      </w:pPr>
    </w:p>
    <w:p w:rsidR="00F15A54" w:rsidRPr="00F15A54" w:rsidRDefault="00F15A54" w:rsidP="00F15A54">
      <w:pPr>
        <w:shd w:val="clear" w:color="auto" w:fill="FFFFFF"/>
        <w:spacing w:before="100" w:beforeAutospacing="1" w:after="100" w:afterAutospacing="1" w:line="300" w:lineRule="atLeast"/>
        <w:jc w:val="center"/>
        <w:rPr>
          <w:rFonts w:eastAsia="Times New Roman"/>
          <w:b/>
          <w:lang w:eastAsia="uk-UA"/>
        </w:rPr>
      </w:pPr>
    </w:p>
    <w:p w:rsidR="00514B35" w:rsidRPr="001266A6" w:rsidRDefault="00234124" w:rsidP="008F1692">
      <w:pPr>
        <w:shd w:val="clear" w:color="auto" w:fill="FFFFFF"/>
        <w:spacing w:after="150" w:line="300" w:lineRule="atLeast"/>
        <w:jc w:val="left"/>
      </w:pPr>
      <w:r>
        <w:rPr>
          <w:rFonts w:eastAsia="Times New Roman"/>
          <w:lang w:eastAsia="uk-UA"/>
        </w:rPr>
        <w:t xml:space="preserve">                          </w:t>
      </w:r>
    </w:p>
    <w:p w:rsidR="00FB57E7" w:rsidRPr="001266A6" w:rsidRDefault="00FB57E7"/>
    <w:sectPr w:rsidR="00FB57E7" w:rsidRPr="001266A6" w:rsidSect="00F15A54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11" w:rsidRDefault="00CB4B11" w:rsidP="00CB4B11">
      <w:r>
        <w:separator/>
      </w:r>
    </w:p>
  </w:endnote>
  <w:endnote w:type="continuationSeparator" w:id="0">
    <w:p w:rsidR="00CB4B11" w:rsidRDefault="00CB4B11" w:rsidP="00CB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11" w:rsidRDefault="00CB4B11" w:rsidP="00CB4B11">
      <w:r>
        <w:separator/>
      </w:r>
    </w:p>
  </w:footnote>
  <w:footnote w:type="continuationSeparator" w:id="0">
    <w:p w:rsidR="00CB4B11" w:rsidRDefault="00CB4B11" w:rsidP="00CB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045DB"/>
    <w:multiLevelType w:val="multilevel"/>
    <w:tmpl w:val="3362C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9AE1192"/>
    <w:multiLevelType w:val="hybridMultilevel"/>
    <w:tmpl w:val="119E255E"/>
    <w:lvl w:ilvl="0" w:tplc="5000A9E4">
      <w:start w:val="9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18B44FF"/>
    <w:multiLevelType w:val="hybridMultilevel"/>
    <w:tmpl w:val="040CB1A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13FBD"/>
    <w:multiLevelType w:val="hybridMultilevel"/>
    <w:tmpl w:val="3B9C2F48"/>
    <w:lvl w:ilvl="0" w:tplc="37588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463CE"/>
    <w:multiLevelType w:val="hybridMultilevel"/>
    <w:tmpl w:val="F1CA58D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93FAB"/>
    <w:multiLevelType w:val="multilevel"/>
    <w:tmpl w:val="7EA4B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7A"/>
    <w:rsid w:val="000407FA"/>
    <w:rsid w:val="00053409"/>
    <w:rsid w:val="000725A9"/>
    <w:rsid w:val="001266A6"/>
    <w:rsid w:val="0013234F"/>
    <w:rsid w:val="00234124"/>
    <w:rsid w:val="00250593"/>
    <w:rsid w:val="00274CB2"/>
    <w:rsid w:val="002B6306"/>
    <w:rsid w:val="00345ACE"/>
    <w:rsid w:val="0036224F"/>
    <w:rsid w:val="004164FB"/>
    <w:rsid w:val="00441771"/>
    <w:rsid w:val="0049659A"/>
    <w:rsid w:val="004C44A7"/>
    <w:rsid w:val="004D227A"/>
    <w:rsid w:val="00514B35"/>
    <w:rsid w:val="00516391"/>
    <w:rsid w:val="00583B59"/>
    <w:rsid w:val="00630350"/>
    <w:rsid w:val="00653645"/>
    <w:rsid w:val="0079790B"/>
    <w:rsid w:val="007E11BC"/>
    <w:rsid w:val="008255DE"/>
    <w:rsid w:val="0089696B"/>
    <w:rsid w:val="008A29A4"/>
    <w:rsid w:val="008F1692"/>
    <w:rsid w:val="009C3D27"/>
    <w:rsid w:val="009F4F12"/>
    <w:rsid w:val="00A209B0"/>
    <w:rsid w:val="00A25FAB"/>
    <w:rsid w:val="00A56781"/>
    <w:rsid w:val="00AD6229"/>
    <w:rsid w:val="00B234C0"/>
    <w:rsid w:val="00B66654"/>
    <w:rsid w:val="00CB4B11"/>
    <w:rsid w:val="00D7115B"/>
    <w:rsid w:val="00D92947"/>
    <w:rsid w:val="00D93080"/>
    <w:rsid w:val="00DC64FC"/>
    <w:rsid w:val="00E9330F"/>
    <w:rsid w:val="00EF0A73"/>
    <w:rsid w:val="00F15A54"/>
    <w:rsid w:val="00FB57E7"/>
    <w:rsid w:val="00FC620F"/>
    <w:rsid w:val="00FE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C0"/>
    <w:pPr>
      <w:jc w:val="both"/>
    </w:pPr>
    <w:rPr>
      <w:rFonts w:ascii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234C0"/>
    <w:rPr>
      <w:b/>
      <w:bCs/>
    </w:rPr>
  </w:style>
  <w:style w:type="paragraph" w:styleId="a4">
    <w:name w:val="No Spacing"/>
    <w:uiPriority w:val="1"/>
    <w:qFormat/>
    <w:rsid w:val="00B234C0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D227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D227A"/>
  </w:style>
  <w:style w:type="character" w:styleId="a6">
    <w:name w:val="Hyperlink"/>
    <w:basedOn w:val="a0"/>
    <w:uiPriority w:val="99"/>
    <w:semiHidden/>
    <w:unhideWhenUsed/>
    <w:rsid w:val="004D22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4B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B11"/>
    <w:rPr>
      <w:rFonts w:ascii="Times New Roman" w:hAnsi="Times New Roman"/>
      <w:sz w:val="28"/>
      <w:szCs w:val="28"/>
      <w:lang w:val="uk-UA"/>
    </w:rPr>
  </w:style>
  <w:style w:type="paragraph" w:styleId="a9">
    <w:name w:val="footer"/>
    <w:basedOn w:val="a"/>
    <w:link w:val="aa"/>
    <w:uiPriority w:val="99"/>
    <w:unhideWhenUsed/>
    <w:rsid w:val="00CB4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B11"/>
    <w:rPr>
      <w:rFonts w:ascii="Times New Roman" w:hAnsi="Times New Roman"/>
      <w:sz w:val="28"/>
      <w:szCs w:val="28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2341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124"/>
    <w:rPr>
      <w:rFonts w:ascii="Tahoma" w:hAnsi="Tahoma" w:cs="Tahoma"/>
      <w:sz w:val="16"/>
      <w:szCs w:val="16"/>
      <w:lang w:val="uk-UA"/>
    </w:rPr>
  </w:style>
  <w:style w:type="paragraph" w:styleId="ad">
    <w:name w:val="List Paragraph"/>
    <w:basedOn w:val="a"/>
    <w:uiPriority w:val="34"/>
    <w:qFormat/>
    <w:rsid w:val="00234124"/>
    <w:pPr>
      <w:ind w:left="720"/>
      <w:contextualSpacing/>
    </w:pPr>
  </w:style>
  <w:style w:type="paragraph" w:customStyle="1" w:styleId="docdata">
    <w:name w:val="docdata"/>
    <w:aliases w:val="docy,v5,5817,baiaagaaboqcaaad/hiaaaumewaaaaaaaaaaaaaaaaaaaaaaaaaaaaaaaaaaaaaaaaaaaaaaaaaaaaaaaaaaaaaaaaaaaaaaaaaaaaaaaaaaaaaaaaaaaaaaaaaaaaaaaaaaaaaaaaaaaaaaaaaaaaaaaaaaaaaaaaaaaaaaaaaaaaaaaaaaaaaaaaaaaaaaaaaaaaaaaaaaaaaaaaaaaaaaaaaaaaaaaaaaaaaa"/>
    <w:basedOn w:val="a"/>
    <w:rsid w:val="00514B3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C0"/>
    <w:pPr>
      <w:jc w:val="both"/>
    </w:pPr>
    <w:rPr>
      <w:rFonts w:ascii="Times New Roman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234C0"/>
    <w:rPr>
      <w:b/>
      <w:bCs/>
    </w:rPr>
  </w:style>
  <w:style w:type="paragraph" w:styleId="a4">
    <w:name w:val="No Spacing"/>
    <w:uiPriority w:val="1"/>
    <w:qFormat/>
    <w:rsid w:val="00B234C0"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D227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D227A"/>
  </w:style>
  <w:style w:type="character" w:styleId="a6">
    <w:name w:val="Hyperlink"/>
    <w:basedOn w:val="a0"/>
    <w:uiPriority w:val="99"/>
    <w:semiHidden/>
    <w:unhideWhenUsed/>
    <w:rsid w:val="004D22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4B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4B11"/>
    <w:rPr>
      <w:rFonts w:ascii="Times New Roman" w:hAnsi="Times New Roman"/>
      <w:sz w:val="28"/>
      <w:szCs w:val="28"/>
      <w:lang w:val="uk-UA"/>
    </w:rPr>
  </w:style>
  <w:style w:type="paragraph" w:styleId="a9">
    <w:name w:val="footer"/>
    <w:basedOn w:val="a"/>
    <w:link w:val="aa"/>
    <w:uiPriority w:val="99"/>
    <w:unhideWhenUsed/>
    <w:rsid w:val="00CB4B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4B11"/>
    <w:rPr>
      <w:rFonts w:ascii="Times New Roman" w:hAnsi="Times New Roman"/>
      <w:sz w:val="28"/>
      <w:szCs w:val="28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2341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124"/>
    <w:rPr>
      <w:rFonts w:ascii="Tahoma" w:hAnsi="Tahoma" w:cs="Tahoma"/>
      <w:sz w:val="16"/>
      <w:szCs w:val="16"/>
      <w:lang w:val="uk-UA"/>
    </w:rPr>
  </w:style>
  <w:style w:type="paragraph" w:styleId="ad">
    <w:name w:val="List Paragraph"/>
    <w:basedOn w:val="a"/>
    <w:uiPriority w:val="34"/>
    <w:qFormat/>
    <w:rsid w:val="00234124"/>
    <w:pPr>
      <w:ind w:left="720"/>
      <w:contextualSpacing/>
    </w:pPr>
  </w:style>
  <w:style w:type="paragraph" w:customStyle="1" w:styleId="docdata">
    <w:name w:val="docdata"/>
    <w:aliases w:val="docy,v5,5817,baiaagaaboqcaaad/hiaaaumewaaaaaaaaaaaaaaaaaaaaaaaaaaaaaaaaaaaaaaaaaaaaaaaaaaaaaaaaaaaaaaaaaaaaaaaaaaaaaaaaaaaaaaaaaaaaaaaaaaaaaaaaaaaaaaaaaaaaaaaaaaaaaaaaaaaaaaaaaaaaaaaaaaaaaaaaaaaaaaaaaaaaaaaaaaaaaaaaaaaaaaaaaaaaaaaaaaaaaaaaaaaaaa"/>
    <w:basedOn w:val="a"/>
    <w:rsid w:val="00514B3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4254</Words>
  <Characters>2426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machine</Company>
  <LinksUpToDate>false</LinksUpToDate>
  <CharactersWithSpaces>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cp:lastPrinted>2025-11-17T07:40:00Z</cp:lastPrinted>
  <dcterms:created xsi:type="dcterms:W3CDTF">2025-12-01T19:05:00Z</dcterms:created>
  <dcterms:modified xsi:type="dcterms:W3CDTF">2025-12-01T19:05:00Z</dcterms:modified>
</cp:coreProperties>
</file>